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2C_331/2014 vom 8. April 2014</w:t>
      </w:r>
    </w:p>
    <w:p>
      <w:r>
        <w:t>Bundesgericht, 2014-04-08, FR</w:t>
      </w:r>
    </w:p>
    <w:p>
      <w:r>
        <w:rPr>
          <w:b/>
        </w:rPr>
        <w:t xml:space="preserve">Quelle: </w:t>
      </w:r>
      <w:r>
        <w:t>https://mcp.opencaselaw.ch/entscheid/bger_2C_331_2014</w:t>
      </w:r>
    </w:p>
    <w:p>
      <w:r>
        <w:t>FR: TF 2C_331/2014 du 8 avril 2014</w:t>
      </w:r>
    </w:p>
    <w:p>
      <w:r>
        <w:t>IT: TF 2C_331/2014 del 8 aprile 2014</w:t>
      </w:r>
    </w:p>
    <w:p>
      <w:pPr>
        <w:pStyle w:val="Heading2"/>
      </w:pPr>
      <w:r>
        <w:t>Erwägungen</w:t>
      </w:r>
    </w:p>
    <w:p>
      <w:r>
        <w:rPr>
          <w:b/>
        </w:rPr>
        <w:t>E. 1</w:t>
      </w:r>
    </w:p>
    <w:p>
      <w:r>
        <w:t>Par arrêt du 28 février 2014, le Tribunal cantonal du canton de Vaud a rejeté le recours que A.________, ressortissant tunisien, a interjeté contre la décision rendue le 30 avril 2013 par le Service de la population du canton de Vaud refusant de lui délivrer une quelconque autorisation de séjour. Non seulement il ne pouvait se prévaloir de ses relations avec ses fils respectivement majeur ou ne bénéficiant pas d'un droit de séjour durable pour demander un droit de séjour tiré de l' art. 8 CEDH , mais encore il remplissait les conditions autorisant la révocation d'une autorisation de séjour en raison des condamnations pénales prononcées à son encontre.</w:t>
      </w:r>
    </w:p>
    <w:p>
      <w:r>
        <w:rPr>
          <w:b/>
        </w:rPr>
        <w:t>E. 2</w:t>
      </w:r>
    </w:p>
    <w:p>
      <w:r>
        <w:t>Par courrier du 1er mars 2014 adressé au Tribunal administratif fédéral, qui l'a retourné au Tribunal fédéral comme objet de sa compétence, A.________ demande en substance l'octroi d'une autorisation de séjour. Il fait un exposé très partiel des faits qui ont précédé la décision de refus du 30 avril 2013, en relation notamment avec son travail, ses enfants, son séjour en prison et en Tunisie.</w:t>
      </w:r>
    </w:p>
    <w:p>
      <w:r>
        <w:rPr>
          <w:b/>
        </w:rPr>
        <w:t>E. 3</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w:t>
      </w:r>
    </w:p>
    <w:p>
      <w:r>
        <w:t>En l'espèce, le recourant se borne à fonder ses conclusions sur l'exposé de faits au demeurant lacunaires sans critiquer ne serait-ce même que succinctement le droit appliqué par l'instance précédente.</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sans objet. Succombant, le recourant doit supporter les frais de justice devant le Tribunal fédéral ( art. 66 al. 1 LTF ). Il n'est pas alloué de dépens ( art. 68 al.1 et 3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