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330/2018 vom 27. Mai 2019</w:t>
      </w:r>
    </w:p>
    <w:p>
      <w:r>
        <w:t>Bundesgericht, 2019-05-27, DE</w:t>
      </w:r>
    </w:p>
    <w:p>
      <w:r>
        <w:rPr>
          <w:b/>
        </w:rPr>
        <w:t xml:space="preserve">Quelle: </w:t>
      </w:r>
      <w:r>
        <w:t>https://mcp.opencaselaw.ch/entscheid/bger_2C_330_2018</w:t>
      </w:r>
    </w:p>
    <w:p>
      <w:r>
        <w:t>FR: TF 2C 330/2018 du 27 mai 2019</w:t>
      </w:r>
    </w:p>
    <w:p>
      <w:r>
        <w:t>IT: TF 2C 330/2018 del 27 maggio 2019</w:t>
      </w:r>
    </w:p>
    <w:p>
      <w:pPr>
        <w:pStyle w:val="Heading2"/>
      </w:pPr>
      <w:r>
        <w:t>Regeste</w:t>
      </w:r>
    </w:p>
    <w:p>
      <w:r>
        <w:t>Aufenthaltsbewilligung; Härtefall | Bürgerrecht und Ausländerrecht</w:t>
      </w:r>
    </w:p>
    <w:p>
      <w:pPr>
        <w:pStyle w:val="Heading2"/>
      </w:pPr>
      <w:r>
        <w:t>Erwägungen</w:t>
      </w:r>
    </w:p>
    <w:p>
      <w:r>
        <w:rPr>
          <w:b/>
        </w:rPr>
        <w:t>E. 1.1</w:t>
      </w:r>
    </w:p>
    <w:p>
      <w:r>
        <w:t>Die Beschwerde in öffentlich-rechtlichen Angelegenheiten gegen einen kantonal letztinstanzlichen Endentscheid betreffend Aufenthaltsbewilligung ist zulässig ( Art. 82 lit. a, Art. 86 Abs. 1 lit. d sowie Art. 90 BGG ), soweit das Bundesrecht oder das Völkerrecht einen Anspruch hierauf einräumen ( Art. 83 lit. c Ziff. 2 BGG ). Sofern die Zulässigkeit der Beschwerde fraglich erscheint, obliegt es der beschwerdeführenden Partei darzutun, dass die gesetzlichen Voraussetzungen erfüllt sind, und die entsprechenden Tatsachen zu beweisen. Geht es um die Frage, ob eine Ausnahme nach Art. 83 BGG vorliegt, ist die materielle Streitsache massgeblich, unabhängig davon, welchen prozessualen Fortgang das Verfahren vor den Vorinstanzen genommen hat (Urteil 2C_254/2017 vom 6. März 2018 E. 1.1).</w:t>
      </w:r>
    </w:p>
    <w:p>
      <w:r>
        <w:rPr>
          <w:b/>
        </w:rPr>
        <w:t>E. 1.2</w:t>
      </w:r>
    </w:p>
    <w:p>
      <w:r>
        <w:t>Der Beschwerdeführer scheint ohne Weiteres von der Zulässigkeit seiner Beschwerde auszugehen. Er übersieht, dass die Erteilung einer Bewilligung nach Art. 30 Abs. 1 lit. b des Bundesgesetz vom 16. Dezember 2005 über die Ausländerinnen und Ausländer und über die Integration (AIG; SR 142.20), um die es im angefochtenen Entscheid ging, ein Ermessensentscheid ist, gegen den die Beschwerde in öffentlich-rechtlichen Angelegenheiten nicht offen steht ( Art. 83 lit. c BGG ). Auf seine Beschwerde kann als Beschwerde in öffentlich-rechtlichen Angelegenheiten nur eingetreten werden, falls sie sich in vertretbarer Weise auf einen Anspruch des Bundes- oder Völkerrechts beruft (vgl. BGE 136 II 177 E. 1.1 S. 179).</w:t>
      </w:r>
    </w:p>
    <w:p>
      <w:r>
        <w:rPr>
          <w:b/>
        </w:rPr>
        <w:t>E. 1.3</w:t>
      </w:r>
    </w:p>
    <w:p>
      <w:r>
        <w:t>Der Beschwerdeführer beruft sich am Rande seiner Ausführungen auch auf Art. 8 Ziff. 1 EMRK und leitet daraus einen Anspruch auf umgekehrten Familiennachzug ab. Überdies habe er insgesamt über 25 Jahre in der Schweiz verbracht. Ein Anspruch auf Bewilligung aus Art. 8 EMRK ist damit gerade noch in vertretbarer Weise geltend gemacht, was für die Zulässigkeit der Beschwerde ausreicht (vgl. BGE 137 I 305 E. 2.5 S. 315; Urteil 2C_904/2018 vom 24. April 2019 E. 1.1). Die Ausnahme nach Art. 83 lit. c Ziff. 2 BGG greift deshalb nicht.</w:t>
      </w:r>
    </w:p>
    <w:p>
      <w:r>
        <w:rPr>
          <w:b/>
        </w:rPr>
        <w:t>E. 1.4</w:t>
      </w:r>
    </w:p>
    <w:p>
      <w:r>
        <w:t>Die Beschwerde wurde unter Einhaltung der gesetzlichen Frist ( Art. 100 Abs. 1 BGG ) eingereicht. Der Beschwerdeführer ist nach Art. 89 Abs. 1 BGG zur Beschwerde legitimiert. Auf die Beschwerde ist grundsätzlich einzutreten. Nicht einzutreten ist allerdings auf den Antrag, den Fall dem SEM zu unterbreiten, da der Beschwerdeführer diesen Antrag nicht begründet hat ( Art. 42 BGG ).</w:t>
      </w:r>
    </w:p>
    <w:p>
      <w:r>
        <w:rPr>
          <w:b/>
        </w:rPr>
        <w:t>E. 1.5</w:t>
      </w:r>
    </w:p>
    <w:p>
      <w:r>
        <w:t>Mit der Beschwerde in öffentlich-rechtlichen Angelegenheiten kann eine Rechtsverletzung nach Art. 95 und 96 BGG gerügt werden. Das Bundesgericht wendet das Recht von Amtes wegen an ( Art. 106 Abs. 1 BGG ). Das Bundesgericht prüft zwar grundsätzlich nur die geltend gemachten Rügen, sofern die rechtlichen Mängel nicht geradezu offensichtlich sind ( BGE 140 III 115 E. 2 S. 116; 133 II 249 E. 1.4.1 S. 254). Es ist allerdings weder an die in der Beschwerde geltend gemachten Argumente noch an die Erwägungen der Vorinstanz gebunden ( BGE 139 II 404 E. 3 S. 415).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1.6</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"Offensichtlich unrichtig" bedeutet dabei willkürlich ( BGE 140 III 115 E. 2 S. 116). Der Beschwerdeführer kann die Feststellung des Sachverhalts unter den gleichen Voraussetzungen beanstanden, wenn die Behebung des Mangels für den Ausgang des Verfahrens entscheidend sein kann ( Art. 97 Abs. 1 BGG ). Die beschwerdeführende Partei hat deshalb substanziiert darzulegen, weswegen diese Voraussetzungen gegeben sein sollen; wird sie dieser Anforderung nicht gerecht, bleibt es beim vorinstanzlich festgestellten Sachverhalt ( BGE 140 III 16 E. 1.3.1 S. 18).</w:t>
      </w:r>
    </w:p>
    <w:p>
      <w:r>
        <w:rPr>
          <w:b/>
        </w:rPr>
        <w:t>E. 2.1</w:t>
      </w:r>
    </w:p>
    <w:p>
      <w:r>
        <w:t>In prozessualer Hinsicht rügt der Beschwerdeführer eine Verletzung des rechtlichen Gehörs nach Art. 29 Abs. 2 BV und des darin enthaltenen Anspruchs auf Begründung des Entscheids sowie des Rechts auf ein faires Verfahren nach Art. 6 Ziff. 1 EMRK . Die Vorinstanz habe sich zu Unrecht nicht mit seinem Anspruch auf umgekehrten Familiennachzug auseinandergesetzt.</w:t>
      </w:r>
    </w:p>
    <w:p>
      <w:r>
        <w:rPr>
          <w:b/>
        </w:rPr>
        <w:t>E. 2.2</w:t>
      </w:r>
    </w:p>
    <w:p>
      <w:r>
        <w:t>Es ist zweifelhaft, ob diese Rügen nach Art. 106 Abs. 2 BGG ausreichend begründet sind. Jedenfalls sind sie aber inhaltlich offensichtlich haltlos. Insbesondere lässt sich der Vorinstanz keine Verletzung ihrer Begründungspflicht nach Art. 29 Abs. 2 BV vorwerfen, weil sie den Anspruch auf umgekehrten Familiennachzug nach Art. 8 EMRK bloss kurz thematisiert und im Übrigen auf den ausführlicheren Entscheid des Sicherheits- und Justizdepartements verwiesen hat. Schliesslich hatte sich der Beschwerdeführer vor der Vorinstanz gar nicht auf Art. 8 EMRK berufen, sondern seine Ausführungen auf das Vorliegen eines Härtefalls nach Art. 30 Abs. 1 lit. b AIG beschränkt.</w:t>
      </w:r>
    </w:p>
    <w:p>
      <w:r>
        <w:rPr>
          <w:b/>
        </w:rPr>
        <w:t>E. 2.3</w:t>
      </w:r>
    </w:p>
    <w:p>
      <w:r>
        <w:t>Der Beschwerdeführer macht geltend, die Vorinstanz habe den Sachverhalt willkürlich festgestellt. Er wiederholt dabei in zumindest stellenweise weitschweifiger Art und Weise den eigenen Standpunkt, wie er ihn weitgehend wortgleich bereits vor der Vorinstanz vorgetragen hatte. An den Feststellungen der Vorinstanz übt er hingegen bloss appellatorische Kritik. Damit ist er nicht zu hören ( BGE 140 III 264 E. 2.3 S. 266 f.; 139 II 404 E. 10.1 S. 445). Ebenso unbeachtlich sind seine Ausführungen zum Entscheid des Sicherheits- und Justizdepartements, der nicht Gegenstand des Verfahrens vor Bundesgericht ist, sowie zu Art. 30 Abs. 1 lit. b AIG , soweit sie sich nicht auf die Prüfung seines Anspruchs nach Art. 8 Ziff. 1 EMRK auswirken.</w:t>
      </w:r>
    </w:p>
    <w:p>
      <w:r>
        <w:rPr>
          <w:b/>
        </w:rPr>
        <w:t>E. 3.1</w:t>
      </w:r>
    </w:p>
    <w:p>
      <w:r>
        <w:t>Die EMRK verschafft praxisgemäss keinen Anspruch auf Einreise und Aufenthalt oder auf einen besonderen Aufenthaltstitel (vgl. BGE 144 I 266 E. 3.2 S. 272 ; 138 I 246 E. 3.2.1 S. 250 f. ; 137 I 247 E. 4.1.1 S. 249; 130 II 281 E. 3.1 S. 285 f.). Unter dem Aspekt des Familienlebens ist Art. 8 Ziff. 1 EMRK aber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mit Hinweisen). Die Entfernung aus der Schweiz kann überdies den Anspruch auf Achtung des Privatlebens nach Art. 8 Ziff. 1 EMRK berühren, wenn sich jemand rund zehn Jahre rechtmässig in der Schweiz aufgehalten hat oder wenn der rechtmässige Aufenthalt zwar zehn Jahre noch nicht erreicht hat, aber eine besonders ausgeprägte Integration vorliegt (nebst engen sozialen Beziehungen namentlich auch in sprachlicher, beruflicher und wirtschaftlicher Hinsicht; vgl. BGE 144 I 266 E. 3.9 S. 278 f.).</w:t>
      </w:r>
    </w:p>
    <w:p>
      <w:r>
        <w:rPr>
          <w:b/>
        </w:rPr>
        <w:t>E. 3.2</w:t>
      </w:r>
    </w:p>
    <w:p>
      <w:r>
        <w:t>Allerdings gelten die aus Art. 8 Ziff. 1 EMRK abgeleiteten Rechte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Personen notwendig ist. Die Konvention verlangt insofern eine Abwägung der sich gegenüberstehenden individuellen Interessen an der Erteilung der Bewilligung einerseits und der öffentlichen Interessen an deren Verweigerung andererseits, wobei letztere in dem Sinne überwiegen müssen, dass sich der Eingriff als notwendig erweist (vgl. BGE 137 I 247 E. 4.1.1 S. 249 ; 135 I 153 E. 2.2.1 S. 156; 122 II 1 E. 2 S. 6; 116 Ib 353 E. 3 S. 357 ff.). Das öffentliche Interesse an einer restriktiven Migrationspolitik überwiegt das private Interesse eines ausländischen Elternteils am Verbleib im Land regelmässig, wenn zwischen dem ausländischen Elternteil und seinem im Inland lebenden Kind keine enge Beziehung in affektiver und wirtschaftlicher Hinsicht besteht, sich der um die Bewilligung nachsuchende Elternteil in der Schweiz nicht tadellos verhalten hat oder das Herkunftsland nicht so weit entfernt ist, als dass sich die Beziehung praktisch nicht mehr aufrechterhalten liesse (vgl. BGE 144 I 91 E. 5.2 S. 97; Urteil 2C_904/2018 vom 24. April 2019 E. 2.3; je mit Hinweisen).</w:t>
      </w:r>
    </w:p>
    <w:p>
      <w:r>
        <w:rPr>
          <w:b/>
        </w:rPr>
        <w:t>E. 3.3.1</w:t>
      </w:r>
    </w:p>
    <w:p>
      <w:r>
        <w:t>Es ist nicht erwiesen, dass zwischen dem Beschwerdeführer und seinem Sohn eine wirtschaftlich enge Beziehung besteht, war der Beschwerdeführer in der Vergangenheit doch immer wieder abhängig von der Sozialhilfe, wenn er sich nicht gerade in Haft oder im Strafvollzug befand. Ob zwischen dem Beschwerdeführer und seinem Sohn - dem einzigen Familienmitglied mit gefestigtem Aufenthaltsrecht - überhaupt ein tatsächliches Familienleben besteht und die Entfernung des Beschwerdeführers aus der Schweiz das von Art. 8 Ziff. 1 EMRK garantierte Recht auf Familienleben tangiert, ist im vorliegenden Fall indessen letztlich ohne Belang. Denn jedenfalls kann keine Rede davon sein, dass sich der Beschwerdeführer tadellos verhalten hätte. Seine zahlreichen Delikte und seine fortgesetzte Sozialhilfeabhängigkeit bedeuten, dass sein weiterer Verbleib in der Schweiz die öffentlichen Interessen an der Wahrung der öffentlichen Sicherheit und Ordnung, der Verhütung weiterer Straftaten, dem Schutz der Rechte und Freiheiten anderer Personen und dem wirtschaftlichen Wohl des Landes gravierend beeinträchtigen würde (vgl. Urteile 2C_16/2018 vom 31. Januar 2019 E. 4.3.3; 2C_80/2017 vom 8. September 2017 E. 3.2.3). Die öffentlichen Interessen an der Entfernung des Beschwerdeführers würden die privaten Interessen des Beschwerdeführers und seines Sohnes an seinem Verbleib in der Schweiz auf jeden Fall überwiegen und den Eingriff in das Recht auf Familienleben des Beschwerdeführers und seines Sohnes rechtfertigen. Es kann daher offengelassen werden, ob und inwiefern eine weitere Anwesenheit des Beschwerdeführers in der Schweiz überhaupt noch dem Wohl seines Sohnes dienen würde, welches im Rahmen der Interessenabwägung zu berücksichtigen ist (vgl. BGE 143 I 21 E. 5.5.1 S. 30; Urteil 2C_16/2018 vom 31. Januar 2019 E. 4.3.3).</w:t>
      </w:r>
    </w:p>
    <w:p>
      <w:r>
        <w:rPr>
          <w:b/>
        </w:rPr>
        <w:t>E. 3.4</w:t>
      </w:r>
    </w:p>
    <w:p>
      <w:r>
        <w:t>Nichts zu seinen Gunsten kann der Beschwerdeführer aus seiner langjährigen Anwesenheit in der Schweiz ableiten. Seit seiner Wiedereinreise im Jahre 2009 war sein Aufenthalt hierzulande nämlich durchgehend ohne Bewilligung. Überdies hat er einen wesentlichen Teil davon in Haft und Strafvollzug verbracht. Eine besonders ausgeprägte Integration des Beschwerdeführers liegt damit offenkundig nicht vor. Die Nichterteilung der Aufenthaltsbewilligung berührt den Anspruch des Beschwerdeführers auf Schutz seines Privatlebens nach Art. 8 Ziff. 1 EMRK folglich nicht.</w:t>
      </w:r>
    </w:p>
    <w:p>
      <w:r>
        <w:rPr>
          <w:b/>
        </w:rPr>
        <w:t>E. 4</w:t>
      </w:r>
    </w:p>
    <w:p>
      <w:r>
        <w:t>Nach dem Gesagten erweist sich, dass das Urteil der Vorinstanz weder Bundes- noch Völkerrecht verletzt. Die Beschwerde ist unbegründet und abzuweisen. Der Beschwerdeführer trägt die Kosten des Verfahrens ( Art. 66 Abs. 1 BGG ). Der Kanton St. Gallen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