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330/2007 vom 27. Juli 2007</w:t>
      </w:r>
    </w:p>
    <w:p>
      <w:r>
        <w:t>Bundesgericht, 2007-07-27, DE</w:t>
      </w:r>
    </w:p>
    <w:p>
      <w:r>
        <w:rPr>
          <w:b/>
        </w:rPr>
        <w:t xml:space="preserve">Quelle: </w:t>
      </w:r>
      <w:r>
        <w:t>https://mcp.opencaselaw.ch/entscheid/bger_2C_330_2007</w:t>
      </w:r>
    </w:p>
    <w:p>
      <w:r>
        <w:t>FR: TF 2C 330/2007 du 27 juillet 2007</w:t>
      </w:r>
    </w:p>
    <w:p>
      <w:r>
        <w:t>IT: TF 2C 330/2007 del 27 luglio 2007</w:t>
      </w:r>
    </w:p>
    <w:p>
      <w:pPr>
        <w:pStyle w:val="Heading2"/>
      </w:pPr>
      <w:r>
        <w:t>Regeste</w:t>
      </w:r>
    </w:p>
    <w:p>
      <w:r>
        <w:t>Praxis Zweitwohnungsbewilligungen/Hauptwohnungsersatzabgaben | Öffentliche Finanzen &amp; Abgaberecht</w:t>
      </w:r>
    </w:p>
    <w:p>
      <w:pPr>
        <w:pStyle w:val="Heading2"/>
      </w:pPr>
      <w:r>
        <w:t>Erwägungen</w:t>
      </w:r>
    </w:p>
    <w:p>
      <w:r>
        <w:rPr>
          <w:b/>
        </w:rPr>
        <w:t>E. 1</w:t>
      </w:r>
    </w:p>
    <w:p>
      <w:r>
        <w:t>Die Beschwerde ist offensichtlich unbegründet, soweit darauf einzutreten ist, und im vereinfachten Verfahren gemäss Art. 109 des Bundesgesetzes über das Bundesgericht (BGG; SR 173.110) mit summarischer Begründung des Entscheides zu erledigen:</w:t>
      </w:r>
    </w:p>
    <w:p>
      <w:r>
        <w:rPr>
          <w:b/>
        </w:rPr>
        <w:t>E. 1.1</w:t>
      </w:r>
    </w:p>
    <w:p>
      <w:r>
        <w:t>Das Bundesgericht beurteilt in Anwendung von Art. 82 lit. a BGG Beschwerden in Angelegenheiten des öffentlichen Rechts. Fragen des Raumplanungs- und Baurechts sowie kantonaler Ersatzabgaben auf dem Gebiet des Zweitwohnungsbaus beschlagen Angelegenheiten des öffentlichen Rechts im Sinne von Art. 82 lit. a BGG . Das Bundesgerichtsgesetz enthält dazu keinen Ausschlussgrund. Das Verwaltungsgericht trat im angefochtenen Entscheid auf die Beschwerden (verwaltungsgerichtliche Beschwerde, eventuell Aufsichtsbeschwerde) nicht ein. Der Beschwerdeführer ist daher durch den angefochtenen Entscheid im Sinne von Art. 89 Abs. 1 lit. b und c BGG besonders berührt und hat ein schutzwürdiges Interesse an dessen Aufhebung oder Änderung. Insofern ist die Beschwerde in öffentlich-rechtlichen Angelegenheiten zulässig. Zu prüfen ist indessen nur, ob das Nichteintreten Bundesrecht, einschliesslich der verfassungsmässigen Rechte, im Sinne von Art. 95 BGG , verletzt. Rügen, das kantonale (Verfahrens-)Recht sei willkürlich ausgelegt bzw. angewendet worden, sind nach Art. 106 Abs. 2 BGG ausdrücklich zu erheben und ausreichend zu begründen.</w:t>
      </w:r>
    </w:p>
    <w:p>
      <w:r>
        <w:rPr>
          <w:b/>
        </w:rPr>
        <w:t>E. 1.2</w:t>
      </w:r>
    </w:p>
    <w:p>
      <w:r>
        <w:t>Es ist unbestritten, dass der Beschwerdeführer mit der verwaltungsgerichtlichen Beschwerde an das kantonale Verwaltungsgericht einzig die Praxis der elf Oberengadiner Gemeinden im Zusammenhang mit der Erhebung der Hauptwohnung-Ersatzabgabe, und nicht etwa eine konkrete Verfügung (Entscheid) anfocht. Insbesondere richtete sich die Beschwerde nicht gegen die Ersatzabgabe-Verfügung betreffend die Eigentumswohnung A.________, Samedan. Art. 49 des Verwaltungsrechtspflegegesetzes des Kantons Graubünden (VRG/GR) enthält eine Enumeration der kantonalen Hoheitsakte, die mit verwaltungsgerichtlicher Beschwerde beim Verwaltungsgericht angefochten werden können. Anfechtbar sind nach Absatz 1 dieser Vorschrift Entscheide von Behörden, also individuell-konkrete Akte, nicht aber eine allgemeine Verwaltungspraxis, wie das Verwaltungsgericht im angefochtenen Entscheid dargelegt hat. Zudem fehlt dem Beschwerdeführer ein schutzwürdiges Interesse gemäss Art. 50 VRG/GR zur Anfechtung der Verwaltungspraxis der Oberengadiner Gemeinden. Er macht zwar geltend, durch die ausufernde Bewilligungspraxis zu den Zweitwohnungen werde einerseits das Ortsbild beeinträchtigt (leerstehende Wohnungen) und andererseits seine eigene Zweitwohnung in ihrem Wert gemindert. Damit ist der Beschwerdeführer indessen nicht mehr betroffen als jedermann bzw. jeder andere Zweitwohnungsbesitzer in Samedan oder in einer anderen Gemeinde des Oberengadins auch. Wenn daher das Verwaltungsgericht im Hinblick auf Art. 49 Abs. 1 und Art. 50 VRG/GR erwogen hat, dass ein anfechtbarer Hoheitsakt (Entscheid) nicht vorliege und der Beschwerdeführer zur Beschwerde nicht legitimiert sei, hat es das kantonale Recht in haltbarer Weise angewendet. Jedenfalls geht aus der vorliegenden Beschwerde nicht hervor, inwiefern diese Rechtsanwendung willkürlich sein könnte.</w:t>
      </w:r>
    </w:p>
    <w:p>
      <w:r>
        <w:rPr>
          <w:b/>
        </w:rPr>
        <w:t>E. 1.3</w:t>
      </w:r>
    </w:p>
    <w:p>
      <w:r>
        <w:t>Der Beschwerdeführer macht hauptsächlich geltend, bei der Praxis der Oberengadiner Gemeinden handle es sich um einen anfechtbaren Realakt. Ob die Rüge ausreichend begründet ist ( Art. 106 Abs. 2 OG ), kann offen bleiben. Als anfechtbare Entscheide gelten nach Art. 28 Abs. 4 und 49 Abs. 3 VRG/GR Realakte, die "in Rechte und Pflichten von Personen eingreifen". Die nach dieser Bestimmung anfechtbaren Realakte unterscheiden sich von formellen Entscheiden (Verfügungen) darin, dass die Verfügung im betreffenden Realakt bereits enthalten ist. Bei der Praxis der Oberengadiner Gemeinden, an welcher der Beschwerdeführer Anstoss nimmt, handelt es sich indessen nicht um einen anfechtbaren Realakt im Sinne von Art. 49 Abs. 3 VRG/GR. Sie greift offenkundig nicht "in Rechte und Pflichten" des Beschwerdeführers ein. Auch Art. 25a des Bundesgesetzes über das Verwaltungsverfahren vom 20. Dezember 1968 (VwVG; SR 172.021) , auf den sich der Beschwerdeführer zur Untermauerung seiner Ansicht hilfsweise ("analog") beruft, verlangt für die Verfügung über einen Realakt, dass ein schutzwürdiges Interesse an der Verfügung besteht und der Realakt in die Rechte und Pflichten der Person eingreift. Der Entscheid des Verwaltungsgerichts ist daher auch unter diesem Gesichtswinkel nicht zu beanstanden.</w:t>
      </w:r>
    </w:p>
    <w:p>
      <w:r>
        <w:rPr>
          <w:b/>
        </w:rPr>
        <w:t>E. 1.4</w:t>
      </w:r>
    </w:p>
    <w:p>
      <w:r>
        <w:t>Der Beschwerdeführer rügt, die Feststellung der Vorinstanz, er habe die Hauptwohnungs-Ersatzabgabe bezüglich der Wohnung A.________ nicht angefochten und längst bezahlt, bedürfe "im Sinne einer Rüge einer massiven Korrektur". Unklar ist, was der Beschwerdeführer mit dieser Rüge erreichen will. Nachdem sich die kantonale Beschwerde unbestrittenermassen gegen die Praxis der Oberengadiner Gemeinden und nicht gegen diese konkrete Verfügung richtete (vgl. vorstehende E. 1.2), handelt es sich nicht um eine sachbezogene Rüge und ist darauf nicht einzutreten.</w:t>
      </w:r>
    </w:p>
    <w:p>
      <w:r>
        <w:rPr>
          <w:b/>
        </w:rPr>
        <w:t>E. 1.5</w:t>
      </w:r>
    </w:p>
    <w:p>
      <w:r>
        <w:t>Die weiteren Vorbringen lassen die Beschwerde ebenfalls nicht als besser begründet erscheinen. Namentlich steht auch die Rechtsweggarantie des Art. 29a BV hier nicht in Frage, nachdem ein Gericht über die Zulässigkeit der Beschwerde nach dem massgebenden Gesetzesrecht befunden hat. Die Beschwerde ist abzuweisen, soweit darauf einzutreten ist.</w:t>
      </w:r>
    </w:p>
    <w:p>
      <w:r>
        <w:rPr>
          <w:b/>
        </w:rPr>
        <w:t>E. 2</w:t>
      </w:r>
    </w:p>
    <w:p>
      <w:r>
        <w:t>Bei diesem Verfahrensausgang wird der Beschwerdeführer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