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2C_326/2022 vom 29. April 2022</w:t>
      </w:r>
    </w:p>
    <w:p>
      <w:r>
        <w:t>Bundesgericht, 2022-04-29, DE</w:t>
      </w:r>
    </w:p>
    <w:p>
      <w:r>
        <w:rPr>
          <w:b/>
        </w:rPr>
        <w:t xml:space="preserve">Quelle: </w:t>
      </w:r>
      <w:r>
        <w:t>https://mcp.opencaselaw.ch/entscheid/bger_2C_326_2022</w:t>
      </w:r>
    </w:p>
    <w:p>
      <w:r>
        <w:t>FR: TF 2C_326/2022 du 29 avril 2022</w:t>
      </w:r>
    </w:p>
    <w:p>
      <w:r>
        <w:t>IT: TF 2C_326/2022 del 29 aprile 2022</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133 IV 131 E. 3).</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1.2</w:t>
      </w:r>
    </w:p>
    <w:p>
      <w:r>
        <w:t>Die Beschwerdeführerin ist der Auffassung, es stelle sich im vorliegenden Verfahren eine das Spezialitätsprinzip betreffende Frage, die im (teilweise) amtlich publizierten Bundesgerichtsurteil 2C_653/2018 vom 26. Juli 2019 ( BGE 146 II 150 ) nicht beurteilt worden sei. Während der Dauer des vorliegenden Amtshilfeverfahrens seien in Frankreich zwei bedeutende Regelungen geschaffen worden, die das im Amtshilfeverfahren geltende Spezialitätsprinzip unterminieren würden und damit eine Vielzahl der hängigen und künftigen Amtshilfeverfahren mit Frankreich beträfen. Die beiden Ergänzungen fänden sich in Art. L142 A und Art. L228 I. des französischen Steuerverfahrensrechts ("Livre des procédures fiscales"). Gemäss der ersten Bestimmung sei die französische Steuerbehörde gegenüber der französischen Staatsanwaltschaft von ihrer Schweigepflicht entbunden und könne mit dieser unabhängig von einer Anzeige, einem Strafantrag oder einem laufenden Gerichtsverfahren Informationen austauschen. Laut dem ersten Absatz der zweiten Bestimmung sei die französische Steuerbehörde sodann verpflichtet, unter den genannten Voraussetzungen die verfügbaren Informationen an die Staatsanwaltschaft weiterzuleiten. Ohnehin sei der Informationsaustausch zwischen den französischen Behörden auch in Art. 40 Abs. 1 des "Codes de Procédure Penale" zwingend vorgeschrieben.</w:t>
      </w:r>
    </w:p>
    <w:p>
      <w:r>
        <w:t>In der vorliegenden Angelegenheit, so die Beschwerdeführerin folgernd, bestünde aufgrund der Höhe der relevanten Vermögenswerte und der Anzahl der betroffenen Steuerjahre keinerlei Zweifel, dass die Voraussetzungen für eine zwingende Weiterleitung der amtshilfeweise ersuchten Informationen an die Staatsanwaltschaft sowohl hinsichtlich der Nachsteuer als auch des Strafzuschlags gegeben seien. Damit sei erstellt, dass die vom Amtshilfeersuchen betroffenen Informationen abkommensfremd verwendet würden. Die Beschwerdeführerin wirft sinngemäss die Frage auf, ob an der bundesgerichtlichen Rechtsprechung im Zusammenhang mit dem Amtshilfeersuchen der ersuchenden Behörde vom 11. Mai 2016 auch im Lichte der neu eingeführten Bestimmungen im französischen Recht festzuhalten sei.</w:t>
      </w:r>
    </w:p>
    <w:p>
      <w:r>
        <w:rPr>
          <w:b/>
        </w:rPr>
        <w:t>E. 1.3</w:t>
      </w:r>
    </w:p>
    <w:p>
      <w:r>
        <w:t>Die von der Beschwerdeführerin aufgeworfene Rechtsfrage beurteilte das Bundesgericht bereits. Es hielt fest, dass die Frage durch die Regeln des Völkerrechts und die bestehende Rechtsprechung beantwortet werde (vgl. Urteile 2C_316/2021 vom 30. April 2021 E. 4.1.1; 2C_319/2021 vom 30. April 2021 E. 4.1.1; 2C_320/2021 vom 30. April 2021 E. 4.1.1). Das Bundesgericht führte dazu aus, die Verpflichtung der Staaten zur Einhaltung des Völkerrechts hänge nicht von ihrem innerstaatlichen Recht ab, sondern vom Grundsatz "Pacta sunt servanda". Dieser Grundsatz bedeute, dass in Kraft getretene internationale Übereinkommen für die Vertragsstaaten verbindlich seien und dass diese die Vertragsstaaten verpflichten würden, die darin enthaltenen Verpflichtungen nach Treu und Glauben zu erfüllen (vgl. Urteile 2C_316/2021 vom 30. April 2021 E. 4.1.2; 2C_319/2021 vom 30. April 2021 E. 4.1.2; 2C_320/2021 vom 30. April 2021 E. 4.1.2). Der gute Glaube werde vermutet und könne nur aufgrund konkreter, nachgewiesener Anhaltspunkte umgestossen werden (vgl. BGE 146 II 150 E. 7.1; 144 II 206 E. 4.4; Urteil 2C_662/2021 und 2C_663/2021 vom 18. März 2022 E. 5.2.3).</w:t>
      </w:r>
    </w:p>
    <w:p>
      <w:r>
        <w:t>In BGE 146 II 150 war das Bundesgericht bereits mit einem Einwand konfrontiert, der sich auf die Anwendung des innerstaatlichen Rechts bezog und von ähnlicher Natur war wie der in der vorliegenden Beschwerde vorgebrachte - nämlich, dass die französischen Steuerbehörden nach internem Recht verpflichtet seien, den Strafverfolgungsbehörden ungeachtet des DBA CH-FR alle erforderlichen Informationen zu übergeben (vgl. BGE 146 II 150 E. 7.4 i.f.). Das Bundesgericht beurteilte insbesondere unter Berücksichtigung der Zusicherung der französischen Behörden, Art. 28 Abs. 2 DBA CH-FR einzuhalten, diesen Einwand und erwog, es bestünden keine konkreten Anhaltspunkte, die darauf schliessen liessen, dass Frankreich beabsichtige, das Spezialitätsprinzip oder die Geheimhaltungspflicht gemäss Art. 28 Abs. 2 DBA CH-FR zu verletzen (vgl. BGE 146 II 150 E. 7.5-7.9). Diese bundesgerichtliche Erwägung ist entgegen der Auffassung der Beschwerdeführerin auch im Zusammenhang mit den neu eingeführten Bestimmungen im französischen Recht massgebend (vgl. Urteil 2C_299/2022 vom 21. April 2022 E. 1.3; vgl. auch Urteile 2C_316/2021 vom 30. April 2021 E. 4.1.2; 2C_319/2021 vom 30. April 2021 E. 4.1.2; 2C_320/2021 vom 30. April 2021 E. 4.1.2). Folglich ist die von der Beschwerdeführerin aufgeworfene Frage beantwortet und stellt keine Rechtsfrage von grundsätzlicher Bedeutung im Sinne von Art. 84a BGG dar.</w:t>
      </w:r>
    </w:p>
    <w:p>
      <w:r>
        <w:rPr>
          <w:b/>
        </w:rPr>
        <w:t>E. 2</w:t>
      </w:r>
    </w:p>
    <w:p>
      <w:r>
        <w:t>In prozessualer Hinsicht beantragt die Beschwerdeführerin, es sei in einer allfälligen öffentlichen Parteiverhandlung oder Urteilsberatung ihre Anonymität zu wahren und das Urteil sei vor einer allfälligen Publikation zu anonymisieren.</w:t>
      </w:r>
    </w:p>
    <w:p>
      <w:r>
        <w:t>Gemäss Art. 27 Abs. 1 BGG informiert das Bundesgericht die Öffentlichkeit über seine Rechtsprechung. Die Veröffentlichung der Entscheide hat grundsätzlich in anonymisierter Form zu erfolgen (vgl. Art. 27 Abs. 2 BGG ; vgl. auch BGE 133 I 106 E. 8.2 f.). Damit wird dem Prozessantrag der Beschwerdeführerin zur Anonymisierung ausreichend Nachachtung verschafft (vgl. auch Urteile 2C_299/2022 vom 21. April 2022 E. 2; 2C_55/2022 vom 27. Januar 2022 E. 2). Weitere Ausführungen dazu erübrigen sich. Gleiches gilt für den prozessualen Antrag der Beschwerdeführerin mit Blick auf eine allfällige Parteiverhandlung oder Urteilsberatung, zumal eine solche nicht durchgeführt wird.</w:t>
      </w:r>
    </w:p>
    <w:p>
      <w:r>
        <w:rPr>
          <w:b/>
        </w:rPr>
        <w:t>E. 3</w:t>
      </w:r>
    </w:p>
    <w:p>
      <w:r>
        <w:t>Im Ergebnis ist auf die Beschwerde in öffentlich-rechtlichen Angelegenheiten nicht einzutreten. Bei diesem Verfahrensausgang wird die Beschwerdeführerin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