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2C_322/2014 vom 8. April 2014</w:t>
      </w:r>
    </w:p>
    <w:p>
      <w:r>
        <w:t>Bundesgericht, 2014-04-08, FR</w:t>
      </w:r>
    </w:p>
    <w:p>
      <w:r>
        <w:rPr>
          <w:b/>
        </w:rPr>
        <w:t xml:space="preserve">Quelle: </w:t>
      </w:r>
      <w:r>
        <w:t>https://mcp.opencaselaw.ch/entscheid/bger_2C_322_2014</w:t>
      </w:r>
    </w:p>
    <w:p>
      <w:r>
        <w:t>FR: TF 2C_322/2014 du 8 avril 2014</w:t>
      </w:r>
    </w:p>
    <w:p>
      <w:r>
        <w:t>IT: TF 2C_322/2014 del 8 aprile 2014</w:t>
      </w:r>
    </w:p>
    <w:p>
      <w:pPr>
        <w:pStyle w:val="Heading2"/>
      </w:pPr>
      <w:r>
        <w:t>Erwägungen</w:t>
      </w:r>
    </w:p>
    <w:p>
      <w:r>
        <w:rPr>
          <w:b/>
        </w:rPr>
        <w:t>E. 1</w:t>
      </w:r>
    </w:p>
    <w:p>
      <w:r>
        <w:t>Par arrêt du 3 mars 2014, le Tribunal cantonal du canton de Vaud a rejeté le recours que A.________, ressortissante française, avait déposé contre la décision du Service cantonal de la population du canton de Vaud refusant de prolonger son autorisation de séjour CE/AELE parce qu'elle recevait depuis 2009 un revenu d'insertion, dont le montant à la date du jugement s'élevait à 55'000 fr. et ne pouvait justifier d'aucun emploi pérenne.</w:t>
      </w:r>
    </w:p>
    <w:p>
      <w:r>
        <w:rPr>
          <w:b/>
        </w:rPr>
        <w:t>E. 2</w:t>
      </w:r>
    </w:p>
    <w:p>
      <w:r>
        <w:t>Par courrier du 31 mars 2014 adressé au Tribunal fédéral, A.________ déclare sa volonté de faire recours contre l'arrêt rendu le 3 mars 2014 par le Tribunal cantonal de canton de Vaud. Elle rappelle qu'elle a vécu 7 ans en Suisse, qu'elle a tout mis en oeuvre pour s'intégrer, qu'elle a toujours travaillé et qu'elle veut entreprendre une formation auprès de la Croix-Rouge.</w:t>
      </w:r>
    </w:p>
    <w:p>
      <w:r>
        <w:rPr>
          <w:b/>
        </w:rPr>
        <w:t>E. 3</w:t>
      </w:r>
    </w:p>
    <w:p>
      <w:r>
        <w:t>En vertu de l'art. 97 al. 1 de la loi fédérale du 17 juin 2005 sur le Tribunal fédéral (LTF; RS 173.110),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w:t>
      </w:r>
    </w:p>
    <w:p>
      <w:r>
        <w:t>En l'espèce, la Cour cantonale a retenu que l'intéressée n'a jamais eu d'emploi pérenne qui justifiait la prolongation d'un permis de séjour, ce que la recourante tente de passer sous silence en exposant qu'elle aurait toujours travaillé. N'étant pas exposées conformément aux exigences de motivation de l' art. 97 al. 1 LTF , ses allégations sont irrecevables.</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rédigé par l'intéressée à l'attention du Tribunal fédéral n'expose pas de manière suffisante eu égard aux exigences de l' art. 42 al. 2 LTF en quoi l'arrêt du 3 mars 2014 et les motifs qu'il retient à l'appui du refus de prolonger l'autorisation de séjour CE/AELE viole le droit fédéral.</w:t>
      </w:r>
    </w:p>
    <w:p>
      <w:r>
        <w:rPr>
          <w:b/>
        </w:rPr>
        <w:t>E. 5</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La requête d'effet suspensif est sans objet. Il se justifie de ne pas percevoir de frais de justice ( art. 66 al. 1 LTF ). La requête de dispense de l'avance de frais est devenue sans objet.</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