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319/2022 vom 6. Mai 2022</w:t>
      </w:r>
    </w:p>
    <w:p>
      <w:r>
        <w:t>Bundesgericht, 2022-05-06, FR</w:t>
      </w:r>
    </w:p>
    <w:p>
      <w:r>
        <w:rPr>
          <w:b/>
        </w:rPr>
        <w:t xml:space="preserve">Quelle: </w:t>
      </w:r>
      <w:r>
        <w:t>https://mcp.opencaselaw.ch/entscheid/bger_2C_319_2022</w:t>
      </w:r>
    </w:p>
    <w:p>
      <w:r>
        <w:t>FR: TF 2C 319/2022 du 6 mai 2022</w:t>
      </w:r>
    </w:p>
    <w:p>
      <w:r>
        <w:t>IT: TF 2C 319/2022 del 6 maggio 2022</w:t>
      </w:r>
    </w:p>
    <w:p>
      <w:pPr>
        <w:pStyle w:val="Heading2"/>
      </w:pPr>
      <w:r>
        <w:t>Regeste</w:t>
      </w:r>
    </w:p>
    <w:p>
      <w:r>
        <w:t>Assistance administrative (CDI CH-FR) | Entraide et extradition</w:t>
      </w:r>
    </w:p>
    <w:p>
      <w:pPr>
        <w:pStyle w:val="Heading2"/>
      </w:pPr>
      <w:r>
        <w:t>Erwägungen</w:t>
      </w:r>
    </w:p>
    <w:p>
      <w:r>
        <w:rPr>
          <w:b/>
        </w:rPr>
        <w:t>E. 1.1</w:t>
      </w:r>
    </w:p>
    <w:p>
      <w:r>
        <w:t>Par décision finale du 11 janvier 2022, l'Administration fédérale des contributions a accordé à l'autorité française compétente l'assistance administrative internationale en matière fiscale qu'elle avait requise le 6 septembre 2021 à l'encontre de feu B.________. Le 9 février 2022, Me Philippe Cosich, avocat à Paris, a recouru contre cette décision auprès du Tribunal administratif fédéral au nom de A.________.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transmis au Tribunal administratif fédéral une procuration en sa faveur.</w:t>
      </w:r>
    </w:p>
    <w:p>
      <w:r>
        <w:rPr>
          <w:b/>
        </w:rPr>
        <w:t>E. 1.3</w:t>
      </w:r>
    </w:p>
    <w:p>
      <w:r>
        <w:t>Par arrêt du 30 mars 2022, le Tribunal administratif fédéral a constaté que la procuration requise n'avait pas été produite dans le délai imparti par l'ordonnance du 24 février 2022 et il a par conséquent déclaré le recours irrecevable.</w:t>
      </w:r>
    </w:p>
    <w:p>
      <w:r>
        <w:rPr>
          <w:b/>
        </w:rPr>
        <w:t>E. 1.4</w:t>
      </w:r>
    </w:p>
    <w:p>
      <w:r>
        <w:t>Agissant par la voie du recours en matière de droit public, A.________ demande au Tribunal fédéral, sous suite de frais et dépens, d'annuler l'arrêt du 30 mars 2022 du Tribunal administratif fédéral et la décision finale du 11 janvier 2022 de l'Administration fédérale, et de rejeter la demande d'assistance administrative du 6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la recourante soutient,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La recourante explique que l'ordonnance du 24 février 2022 que le Tribunal administratif fédéral a adressée à son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Elle allègue que le délai imparti par le Tribunal administratif fédéral a expiré avant que la procuration demandée n'ait pu être produite à cause d'un "délai d'acheminement anormal" de la Poste suisse et elle en conclut que le Tribunal administratif fédéral aurait dû prendre en compte le fait que la procuration lui a été envoyée par courriel le 28 mars 2022 et par la poste le 29 mars 2022. L'entrée en matière sur le recours se justifierait aussi sous l'angle du cas particulièrement important (interne: recours, ch. 17 p. 8).</w:t>
      </w:r>
    </w:p>
    <w:p>
      <w:r>
        <w:rPr>
          <w:b/>
        </w:rPr>
        <w:t>E. 4.1.1</w:t>
      </w:r>
    </w:p>
    <w:p>
      <w:r>
        <w:t>La motivation présentée par la recourante est fondée sur des faits qui ne sont pas constatés dans l'arrêt attaqué et que le Tribunal fédéral ne peut partant pas prendre en compte ( art. 105 al. 1 LTF ). Au demeurant, la recourante n'explique pas en quoi la situation qu'elle présente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la recourante soutient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 la recourante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La recourante fait également valoir que la présente cause soulève une question juridique de principe liée à la pertinence vraisemblable des renseignements demandés, lorsqu'aucun contrôle fiscal n'a eu lieu "en droit interne". Elle perd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