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319/2013 vom 13. März 2014</w:t>
      </w:r>
    </w:p>
    <w:p>
      <w:r>
        <w:t>Bundesgericht, 2014-03-13, DE</w:t>
      </w:r>
    </w:p>
    <w:p>
      <w:r>
        <w:rPr>
          <w:b/>
        </w:rPr>
        <w:t xml:space="preserve">Quelle: </w:t>
      </w:r>
      <w:r>
        <w:t>https://mcp.opencaselaw.ch/entscheid/bger_2C_319_2013</w:t>
      </w:r>
    </w:p>
    <w:p>
      <w:r>
        <w:t>FR: TF 2C 319/2013 du 13 mars 2014</w:t>
      </w:r>
    </w:p>
    <w:p>
      <w:r>
        <w:t>IT: TF 2C 319/2013 del 13 marzo 2014</w:t>
      </w:r>
    </w:p>
    <w:p>
      <w:pPr>
        <w:pStyle w:val="Heading2"/>
      </w:pPr>
      <w:r>
        <w:t>Regeste</w:t>
      </w:r>
    </w:p>
    <w:p>
      <w:r>
        <w:t>Kantonssteuer 2008, interkantonale Doppelbesteuerung (Verlustverlegung)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V 42 E. 1 S. 44 ; 138 I 367 E. 1 S. 369; 138 III 471 E. 1 S. 475).</w:t>
      </w:r>
    </w:p>
    <w:p>
      <w:r>
        <w:rPr>
          <w:b/>
        </w:rPr>
        <w:t>E. 1.2</w:t>
      </w:r>
    </w:p>
    <w:p>
      <w:r>
        <w:t>Die Beschwerde richtet sich gegen einen (End-) Entscheid einer letzten kantonalen Instanz in einer Angelegenheit des öffentlichen Rechts. Die Beschwerde in öffentlich-rechtlichen Angelegenheiten ist grundsätzlich gegeben (Art. 82 lit. a, Art. 83, Art. 86 Abs. 1 lit. d und Abs. 2, Art. 89 Abs. 1, Art. 90 BGG sowie, harmonisierungsrechtliche Fragen betreffend, i. V. m. Art. 73 des Bundesgesetzes vom 14. Dezember 1990 über die Harmonisierung der direkten Steuern der Kantone und Gemeinden [StHG; SR 642.14]).</w:t>
      </w:r>
    </w:p>
    <w:p>
      <w:r>
        <w:rPr>
          <w:b/>
        </w:rPr>
        <w:t>E. 1.3.1</w:t>
      </w:r>
    </w:p>
    <w:p>
      <w:r>
        <w:t>Der Hauptantrag zielt auf die Behebung einer angeblichen virtuellen interkantonalen Doppelbesteuerung bzw. einer Verletzung des Schlechterstellungsverbots ( Art. 127 Abs. 3 BV ). Angefochten ist der Entscheid des Verwaltungsgerichts des Kantons Graubünden vom 4. Dezember 2012, nicht aber der rechtskräftige Entscheid der Stadt C.________/ZH vom 25. Februar 2011. Aus den Akten ist nicht ersichtlich, ob der Kanton Zürich bereits eine Veranlagungsverfügung erlassen hat. Dies ist nicht weiter zu thematisieren, nachdem das Bundesgericht in Doppelbesteuerungssachen praxisgemäss nicht von Amtes wegen prüft, ob eine von der beschwerdeführenden Partei unangefochten gebliebene konkurrierende Veranlagungsverfügung das Verbot der Doppelbesteuerung verletzt (Urteil 2C_91/2012 vom 17. August 2012 E. 1.3.3, in: StR 68/2013 S. 158 mit Hinweisen; BGE 111 Ia 44 E. 1b S. 46 ; 93 I 241 E. 1 S. 241).</w:t>
      </w:r>
    </w:p>
    <w:p>
      <w:r>
        <w:rPr>
          <w:b/>
        </w:rPr>
        <w:t>E. 1.3.2</w:t>
      </w:r>
    </w:p>
    <w:p>
      <w:r>
        <w:t>Im Sinne eines Eventualantrags ersucht die Steuerpflichtige das Bundesgericht um Anweisung an den Kanton Zürich, die Veranlagung in bestimmtem Sinne vorzunehmen (Verrechnung des Verlustvortrags mit künftigen im Kanton Zürich erzielten Betriebs- und Grundstückgewinnen). Eine derartige Anweisung sprengt indes die Kompetenzen des Bundesgerichts. Die Veranlagungspraxis eines Kantons kann das Bundesgericht lediglich im Rahmen der nachträglichen Verwaltungsrechtspflege - mithin gegenüber einer angefochtenen Verfügung - prüfen, wogegen es ihm benommen ist, gewissermassen "veranlagend" tätig zu sein. Auf den Eventualantrag kann von vornherein nicht eingetreten werden.</w:t>
      </w:r>
    </w:p>
    <w:p>
      <w:r>
        <w:rPr>
          <w:b/>
        </w:rPr>
        <w:t>E. 1.4</w:t>
      </w:r>
    </w:p>
    <w:p>
      <w:r>
        <w:t>Die weiteren Sachurteilsvoraussetzungen geben zu keinen Bemerkungen Anlass. Auf die Beschwerde ist im Hauptantrag einzutreten.</w:t>
      </w:r>
    </w:p>
    <w:p>
      <w:r>
        <w:rPr>
          <w:b/>
        </w:rPr>
        <w:t>E. 1.5</w:t>
      </w:r>
    </w:p>
    <w:p>
      <w:r>
        <w:t>Mit der Beschwerde in öffentlich-rechtlichen Angelegenheiten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w:t>
      </w:r>
    </w:p>
    <w:p>
      <w:r>
        <w:rPr>
          <w:b/>
        </w:rPr>
        <w:t>E. 1.6</w:t>
      </w:r>
    </w:p>
    <w:p>
      <w:r>
        <w:t>Fragen des Bundesrechts klärt das Bundesgericht mit freier Kognition ( Art. 95 lit. a BGG ). Trotz der Rechtsanwendung von Amtes wegen prüft das Bundesgericht, unter Berücksichtigung der allgemeinen Begründungspflicht der Beschwerde ( Art. 42 BGG ), grundsätzlich nur die geltend gemachten Rügen, sofern die rechtlichen Mängel nicht geradezu offensichtlich sind (Urteil 2C_814/2013 vom 3. März 2014 E. 1.6.1; BGE 135 II 384 E. 2.2.1 S. 389; 134 III 102 E. 1.1 S. 104; 133 II 249 E. 1.4.1 S. 254). Das Verbot der interkantonalen Doppelbesteuerung ( Art. 127 Abs. 3 BV ) räumt der betroffenen steuerpflichtigen Person ein Individualrecht ein ( BGE 131 I 409 E. 3.1 S. 412; 101 Ia 384 E. 4a S. 387); es ist ein verfassungsmässiges Recht (Urteil 2P.54/2005 vom 30. September 2005 E. 1.3). Die Verletzung von Grundrechten ( Art. 7-34 BV , nebst den übrigen verfassungsmässigen Rechten der BV [ BGE 134 I 23 E. 6.1 S. 31; 133 III 638 E. 2 S. 640] und den Rechtsansprüchen der EMRK [ BGE 138 I 97 E. 4.3 S. 106]), von kantonalem und interkantonalem Recht untersucht das Bundesgericht in jedem Fall nur, soweit eine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2C_814/2013 vom 3. März 2014 E. 1.6.2).</w:t>
      </w:r>
    </w:p>
    <w:p>
      <w:r>
        <w:rPr>
          <w:b/>
        </w:rPr>
        <w:t>E. 1.7</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zum Begriff der Willkür in der Rechtsanwendung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Urteil 2C_814/2013 vom 3. März 2014 E. 1.6.3; BGE 137 III 226 E. 4.2 S. 234).</w:t>
      </w:r>
    </w:p>
    <w:p>
      <w:r>
        <w:rPr>
          <w:b/>
        </w:rPr>
        <w:t>E. 1.8</w:t>
      </w:r>
    </w:p>
    <w:p>
      <w:r>
        <w:t>Die Bindung des Bundesgerichts an den von der Vorinstanz festgestellten Sachverhalt ( Art. 105 Abs. 1 BGG ) und das Novenverbot ( Art. 99 Abs. 1 BGG ) gelten auch für Beschwerden in Sachen der interkantonalen Doppelbesteuerung ( BGE 139 II 373 E. 1.7 S. 378 f. ; 133 I 300 E. 2.3 S. 306; Urteil 2C_708/2012 vom 21. Dezember 2012 E. 1.5, nicht publ. in: BGE 139 I 64 , aber in: StE 2013 A 24.44.1 Nr. 3, StR 68/2013 S. 212).</w:t>
      </w:r>
    </w:p>
    <w:p>
      <w:r>
        <w:rPr>
          <w:b/>
        </w:rPr>
        <w:t>E. 2.1</w:t>
      </w:r>
    </w:p>
    <w:p>
      <w:r>
        <w:t>Von Harmonisierungsrechts wegen sind die Kantone frei, ob sie realisierte Wertzuwachsgewinne auf Grundstücken des Geschäftsvermögens mit der allgemeinen Einkommens- und Gewinnsteuer (dualistisches System gemäss Art. 12 Abs. 1 StHG ) oder aber mit der besonderen Grundstückgewinnsteuer erfassen wollen (monistisches System im Sinne von Art. 12 Abs. 4 StHG ; BGE 139 II 373 E. 4.2 S. 382). Von Doppelbesteuerungsrechts wegen ist die Wahlfreiheit bzw. die konkrete Handhabung der gewählten Methode freilich insofern eingeschränkt, als der Systementscheid eines Kantons sich nicht zu Ungunsten eines anderen Kantons oder der steuerpflichtigen Person, die in mehreren Kantonen steuerpflichtig ist, auswirken darf (wiederum BGE 139 II 373 E. 4.2 S. 382 ; 131 I 249 E. 6.3 S. 261; so schon BGE 92 I 198 E. 3b S. 200). Trifft in der interkantonalen Steuerausscheidung über Einkommen und Vermögen bzw. Gewinn und Kapital ein Kanton mit monistischem auf einen Kanton mit dualistischem System, müssen zwecks Herbeiführung vergleichbarer Verhältnisse alle Wertzuwachsgewinne in vollem Umfang in die Steuerausscheidung einbezogen werden (auch dazu BGE 139 II 373 E. 4.2 S. 382).</w:t>
      </w:r>
    </w:p>
    <w:p>
      <w:r>
        <w:rPr>
          <w:b/>
        </w:rPr>
        <w:t>E. 2.2.1</w:t>
      </w:r>
    </w:p>
    <w:p>
      <w:r>
        <w:t>Die politischen Gemeinden des Kantons Zürich erheben eine Grundstückgewinnsteuer auf den Gewinnen, die sich bei Handänderungen an Grundstücken oder Anteilen von solchen ergeben (§ 205 i. V. m. § 216 Abs. 1 des Steuergesetzes [des Kantons Zürich] vom 8. Juni 1997 [StG/ZH; LS 631.1]). Die Steuer fällt ungeachtet dessen an, ob es sich um Privat- oder Geschäftsvermögen handelt ( monistisches System; BGE 139 II 373 E. 3.5 S. 380). Im Anschluss an Art. 12 Abs. 1 StHG ("Ersatzwert") und für den Fall, dass die massgebende Handänderung mehr als zwanzig Jahre zurückliegt, bestimmt § 220 Abs. 2 StG /ZH, dass die steuerpflichtige Person als Gestehungskosten den Verkehrswert des Grundstücks in Anschlag bringen darf, der ihm zwanzig Jahre zuvor zukam (sog. "Verkehrswert vor zwanzig Jahren"; Urteil 2C_705/2011 vom 26. April 2012 E. 4.3.3 und 4.3.5, in: ASA 82 S. 163, StE 2012 B 44.12.3 Nr. 6, StR 67/2012 S. 522). Die Verrechnung von Geschäftsverlusten mit dem Grundstückgewinn ist dem Wesen der Grundstückgewinnsteuer zürcherischer Ausprägung grundsätzlich fremd ( BGE 139 II 373 E. 3.5 S. 380).</w:t>
      </w:r>
    </w:p>
    <w:p>
      <w:r>
        <w:rPr>
          <w:b/>
        </w:rPr>
        <w:t>E. 2.2.2</w:t>
      </w:r>
    </w:p>
    <w:p>
      <w:r>
        <w:t>Der Kanton Graubünden erhebt ebenso eine Grundstückgewinnsteuer. Steuersubjekt sind hier allerdings nur die natürlichen und die steuerbefreiten juristischen Personen (Art. 1 lit. a des Steuergesetzes vom 8. Juni 1986 für den Kanton Graubünden [StG/GR; BR 720.000]). Steuerobjekt bilden hauptsächlich die Gewinne aus der Veräusserung von Grundstücken des Privatvermögens ( Art. 41 Abs. 1 lit. a StG /GR; dualistisches System). Im Übrigen erfasst der Kanton Graubünden Grundstückgewinne juristischer Personen mit der Gewinnsteuer ( Art. 79 Abs. 1 StG /GR).</w:t>
      </w:r>
    </w:p>
    <w:p>
      <w:r>
        <w:rPr>
          <w:b/>
        </w:rPr>
        <w:t>E. 2.3.1</w:t>
      </w:r>
    </w:p>
    <w:p>
      <w:r>
        <w:t>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(Schlechterstellungsverbot; BGE 138 I 297 E. 3.1 S. 300 f.; Urteile 2C_243/2011 vom 1. Mai 2013 E. 1.3, nicht publ. in: BGE 139 II 373 , aber in: StE 2013 A 24.43.1 Nr. 23, StR 68/2013 S. 636; 2C_708/2012 vom 21. Dezember 2012 E. 2.1, nicht publ. in: BGE 139 I 64 , aber in: StE 2013 A 24.44.1 Nr. 3, StR 68/2013 S. 212).</w:t>
      </w:r>
    </w:p>
    <w:p>
      <w:r>
        <w:rPr>
          <w:b/>
        </w:rPr>
        <w:t>E. 2.3.2</w:t>
      </w:r>
    </w:p>
    <w:p>
      <w:r>
        <w:t>Mit Rücksicht auf das Gebot der Besteuerung nach der wirtschaftlichen Leistungsfähigkeit ( Art. 127 Abs. 2 BV ) und das Verbot der interkantonalen Doppelbesteuerung ( Art. 127 Abs. 3 BV ; zur doppelten Anspruchsgrundlage BGE 137 I 145 E. 4.3 S. 151) muss der Grundstückkanton einen Betriebsverlust, den eine interkantonale Unternehmung (einschliesslich Versicherungs- und Immobiliengesellschaften) bzw. ein Liegenschaftenhändler oder ein Generalbauunternehmen im Sitzkanton und/oder einem Betriebsstättekanton erleidet, auf den ihm objektmässig zustehenden Wertzuwachsgewinn aus der Veräusserung von Betriebsliegenschaften anrechnen ( BGE 138 I 297 E. 4.2 S. 303 ; 131 I 249 E. 4 S. 254, E. 5.3 S. 259 f., E. 6.3 S. 261; zum Ganzen Xavier Oberson, Droit fiscal suisse, 4. Aufl. 2012, § 21 N. 46; Mathias Oertli/Rainer Zigerlig, in: Martin Zweifel/Michael Beusch/Peter Mäusli-Allenspach [Hrsg.], Kommentar zum Schweizerischen Steuerrecht, Band III/1, Interkantonales Steuerrecht, 2011, § 33 N. 57 f.; Markus Reich, Steuerrecht, 2. Aufl. 2012, § 25 N. 69 f.; Peter Locher, Einführung in das interkantonale Steuerrecht, 3. Aufl. 2009, S. 71 f. und 110 f.). Keine Rolle spielt, ob der Grundstückkanton dem dualistischen oder dem monistischen System folgt ( BGE 131 I 249 E. 5.3 S. 259). Die Abschreibungskomponente ("Buchgewinn") ist in allen Fällen in das nach Quoten auszuscheidende Betriebsergebnis aufzunehmen ( BGE 131 I 249 E. 4.1 S. 254; vgl. auch BGE 138 I 297 E. 4.1 S. 302).</w:t>
      </w:r>
    </w:p>
    <w:p>
      <w:r>
        <w:rPr>
          <w:b/>
        </w:rPr>
        <w:t>E. 2.3.3</w:t>
      </w:r>
    </w:p>
    <w:p>
      <w:r>
        <w:t>Erst der nach der Verlustanrechnung verbleibende Grundstückgewinn ist dem Grundstückkanton zur alleinigen Besteuerung zuzuweisen. Ist nicht nur das Teilergebnis einer einzelnen Betriebsstätte ("Teilverlust"), sondern das periodenbezogene Gesamtergebnis eines Unternehmens negativ, zum Beispiel aufgrund gewichtiger Vorjahresverluste, liegt ein "Gesamtverlust" vor (vgl. René Matteotti, in: Zweifel/Beusch/Mäusli-Allenspach, a.a.O., § 34 N. 19; Daniel de Vries Reilingh, La double imposition intercantonale, 2. Aufl. 2013, N. 973). In die Ermittlung des Gesamt- oder Teilverlusts einer Steuerperiode für die interkantonale Steuerausscheidung einzubeziehen sind in jedem Fall der Verlust des Laufjahrs (d. h. des Steuerjahrs) sowie die noch nicht verrechneten Vorjahresverluste.</w:t>
      </w:r>
    </w:p>
    <w:p>
      <w:r>
        <w:rPr>
          <w:b/>
        </w:rPr>
        <w:t>E. 2.3.4</w:t>
      </w:r>
    </w:p>
    <w:p>
      <w:r>
        <w:t>Ebenso wie die Verlustverrechnung am Hauptsteuerdomizil ist auch die Verlustübernahme am Nebensteuerdomizil definitiver Natur. In einer späteren Steuerperiode mit insgesamt positivem Ergebnis kann darauf (auch) am Nebensteuerdomizil nicht zurückgekommen werden (vgl. schon Urteil 2C_689/2010 vom 4. April 2011 E. 4.3). Mit der Pflicht zur Verlustübernahme soll vermieden werden, dass sich Ausscheidungsverluste ergeben ("pertes de répartition"; BGE 138 I 297 E. 4.2 S. 303 ; 131 I 249 E. 6.3 S. 261). Das gleiche Vorgehen greift bei Gewinnungskosten auf Grundstücken im Privatvermögen ( BGE 138 I 297 E. 4.2 S. 303 ; 131 I 285 E. 4.1 S. 290) und bei Kapitalanlageliegenschaften in reinen Grundstückkantonen, d. h. Kantonen ohne Betriebsstätten ( BGE 139 II 373 E. 4.2 S. 380 f. ; 138 I 297 E. 4.1 S. 302, E. 4.2 S. 303 ; 132 I 220 E. 5 S. 227; vgl. auch das Kreisschreiben Nr. 27 vom 15. März 2007 der Schweizerischen Steuerkonferenz ["Die Vermeidung von Ausscheidungsverlusten"]).</w:t>
      </w:r>
    </w:p>
    <w:p>
      <w:r>
        <w:rPr>
          <w:b/>
        </w:rPr>
        <w:t>E. 2.4.1</w:t>
      </w:r>
    </w:p>
    <w:p>
      <w:r>
        <w:t>Vom Reingewinn der Steuerperiode einer juristischen Person werden im harmonisierten Steuerrecht die Verluste aus den sieben der Steuerperiode vorangegangenen Geschäftsjahren abgezogen, soweit sie bei der Berechnung des steuerbaren Reingewinns dieser Jahre nicht berücksichtigt werden konnten ( Art. 67 DBG ; Art. 25 Abs. 2 StHG ). Ergibt sich aufgrund der Verlustverrechnung eine Nullveranlagung, fehlt es der steuerpflichtigen Person in der Folge an einem Feststellungs- oder einem andersartigen Rechtsschutzinteresse, das sie zur Anfechtung des Entscheids berechtigen könnte (Urteile 2C_973/2012 / 2C_974/2012 vom 4. Oktober 2013 E. 4. 2, in: ASA 82 S. 308; 2C_91/2012 vom 17. August 2012 E. 1.3.3, in: StR 68/2013 S. 158; 2C_645/2011 vom 12. März 2012 E. 3.4, in: RDAF 2012 II S. 266, StR 67/2012 S. 436, StE 2012 B 72.19 Nr. 15). In einem Fall wie dem vorliegenden ist die Höhe des für die Nachfolgeperiode massgebenden verbleibenden Verlustvortrags folglich in der Nachfolgeperiode zu prüfen (Urteil 2C_973/2012 / 2C_974/2012 vom 4. Oktober 2013 E. 4. 2).</w:t>
      </w:r>
    </w:p>
    <w:p>
      <w:r>
        <w:rPr>
          <w:b/>
        </w:rPr>
        <w:t>E. 2.4.2</w:t>
      </w:r>
    </w:p>
    <w:p>
      <w:r>
        <w:t>Der formellen und materiellen Rechtskraft einer Verfügung zugänglich ist zwar die Entscheidformel (das Dispositiv), nicht aber die Sachverhaltsfeststellungen oder die Erwägungen zur Rechtslage (die Motive). Aus diesem Grund kann nur das Dispositiv Bindungswirkung entfalten (Urteil 8C_821/2012 vom 3. Juli 2013 E. 3.2; BGE 121 III 474 E. 4a S. 478; 115 II 187 E. 3b S. 191), sodass auch nur das Dispositiv anfechtbar ist (Urteile 2C_1174/2012 vom 16. August 2013 E. 3.3.2, in: ASA 82 S. 146; 2C_423/2012 vom 9. Dezember 2012 E. 1.2; 9C_58/2012 vom 8. Juni 2012 E. 4.2, nicht publ. in: BGE 138 V 298 ; BGE 120 V 233 E. 1a S. 237).</w:t>
      </w:r>
    </w:p>
    <w:p>
      <w:r>
        <w:rPr>
          <w:b/>
        </w:rPr>
        <w:t>E. 2.4.3</w:t>
      </w:r>
    </w:p>
    <w:p>
      <w:r>
        <w:t>Im Steuerrecht bedeutet dies, dass [nur] die Steuerfaktoren an der Rechtskraft teilhaben (Urteil 2A.465/2006 vom 19. Januar 2007 E. 4.2.2, in: RDAF 2007 II 263, StE 2007 B 72.11 Nr. 15, StR 62/2007 S. 518). Die Erwägungen, die zum Dispositiv führen, haben lediglich die Bedeutung von Motiven. Die tatsächlichen und die rechtlichen Verhältnisse, auf denen eine rechtskräftige Veranlagung beruht, können an sich in einer späteren Periode abweichend beurteilt werden (Urteil 2A.370/2004 vom 11. November 2005 E. 4.2, in: ASA 77 S. 257, RDAF 2006 II 228; BGE 88 I 240 E. 2 S. 244.). Definitive Veranlagungsverfügungen entfalten Wirkungen, insbesondere Rechtskraftwirkungen, in zeitlicher Hinsicht zudem nur bezüglich der Steuerperiode, für die sie ergangen sind (Urteile 2C_309/2013 / 2C_310/2013 vom 18. September 2013 E. 3.10; 2C_1174/2012 vom 16. August 2013 E. 3.3.2 mit Hinweisen).</w:t>
      </w:r>
    </w:p>
    <w:p>
      <w:r>
        <w:rPr>
          <w:b/>
        </w:rPr>
        <w:t>E. 2.4.4</w:t>
      </w:r>
    </w:p>
    <w:p>
      <w:r>
        <w:t>Wird eine juristische Person mit einem Reingewinn von null Franken veranlagt, ist damit nur entschieden, dass sie keinen steuerbaren Gewinn erzielt und dementsprechend für das betreffende Jahr keine Steuern zu bezahlen hat. Die Höhe des einer solchen Veranlagungsverfügung zugrunde liegenden Verlusts ist hingegen nicht rechtskräftig festgesetzt worden. Die Steuerbehörden sind daher nach ständiger Praxis befugt, die Höhe der in den Vorjahren geltend gemachten Verluste trotz der Rechtskraft der entsprechenden Veranlagungsverfügung zu überprüfen, wenn sie im Rahmen von Art. 67 DBG über den Abzug von solchen Verlusten zu befinden haben (Urteile 2A.775/2006 vom 18. Juni 2007 E. 1.1; 2A.192/2000 vom 9. Mai 2001 E. 1, in: RDAF 2001 II S. 261).</w:t>
      </w:r>
    </w:p>
    <w:p>
      <w:r>
        <w:rPr>
          <w:b/>
        </w:rPr>
        <w:t>E. 3.1</w:t>
      </w:r>
    </w:p>
    <w:p>
      <w:r>
        <w:t>Anfechtungsobjekt ist [nur] die Veranlagungsverfügung 2008 des Kantons Graubünden. Der Antrag der Steuerpflichtigen richtet sich aber auf die Erhöhung des per 31. Dezember 2007 wirksamen steuerlichen Verlusts. Sie beruft sich darauf, dass es im Kanton Zürich wegen des Ersatzwertes ("Verkehrswert vor zwanzig Jahren") zu einer Nullveranlagung gekommen wäre. Die Steuerpflichtige erklärt, es sei mit dem Schlechterstellungsverbot nicht zu vereinbaren und stelle eine verbotene virtuelle Doppelbesteuerung dar, wenn der Vorgang einzig aufgrund der interkantonalen Steuerausscheidung dennoch besteuert werde.</w:t>
      </w:r>
    </w:p>
    <w:p>
      <w:r>
        <w:rPr>
          <w:b/>
        </w:rPr>
        <w:t>E. 3.2.1</w:t>
      </w:r>
    </w:p>
    <w:p>
      <w:r>
        <w:t>Nach den für das Bundesgericht verbindlichen Feststellungen der Vorinstanz ( Art. 105 Abs. 1 BGG ) wies die Steuerpflichtige in ihrem Abschluss 2007 im Zusammenhang mit der Veräusserung des Terrains einen handelsrechtlichen Gewinn von Fr. ... aus. Er setzte sich zusammen aus einem Buchgewinn von Fr. ... und einem Wertzuwachsgewinn von Fr. ... (lit. A hiervor). Weiter hat das Bundesgericht davon auszugehen, dass am sekundären Steuerdomizil (Kanton Zürich) aufgrund des herangezogenen "Verkehrswerts vor zwanzig Jahren" kein Grundstückgewinn anfiel (lit. B hiervor), während derselbe Vorgang am Hauptsteuerdomizil (Kanton Graubünden) im Jahr 2007 entsprechend dem Handelsrecht vollumfänglich als Gewinn erfasst wurde (lit. C hiervor). Demzufolge konnte in der Folgeperiode 2008 lediglich noch ein vortragbarer Verlust von rund Fr. ... Mio. beansprucht werden (lit. D hiervor). Ebenso steht fest, dass der Buchgewinn in dem nach Quoten auszuscheidenden Betriebsergebnis enthalten ist (was nichts daran änderte, dass ein Betriebsverlust eintrat).</w:t>
      </w:r>
    </w:p>
    <w:p>
      <w:r>
        <w:rPr>
          <w:b/>
        </w:rPr>
        <w:t>E. 3.2.2</w:t>
      </w:r>
    </w:p>
    <w:p>
      <w:r>
        <w:t>Die Frage der Höhe des vortragbaren Verlusts 2007 war im Steuerjahr 2007 aufgrund der eingetretenen Nullveranlagung keiner Überprüfung zugänglich. Die Veranlagungsverfügung vom 23. Mai 2011 (bzw. deren Dispositiv) ist infolgedessen in Rechtskraft erwachsen (Einspracheentscheid vom 16. August 2011). Nicht von der Rechtskraft erfasst ist die Höhe des per 31. Dezember 2007 noch bestehenden Verlustvortrags. Aus diesem Grund kann die Frage im streitbetroffenen Steuerjahr 2008 aufgebracht werden.</w:t>
      </w:r>
    </w:p>
    <w:p>
      <w:r>
        <w:rPr>
          <w:b/>
        </w:rPr>
        <w:t>E. 3.3.1</w:t>
      </w:r>
    </w:p>
    <w:p>
      <w:r>
        <w:t>Die Steuerpflichtige ist operativ tätig; sie unterhält ausserkantonale Betriebsstätten, weshalb sie steuerrechtlich ein interkantonales Unternehmen darstellt. Weiter ist für das streitbetroffene Grundstückgeschäft von einem Erlös von Fr. ... Mio. und handelsrechtlichen Gestehungskosten von rund Fr. ... Mio. auszugehen. Per saldo führte dies zu einem handelsrechtlichen Wertzuwachsgewinn von ca. Fr. ... Mio., nebst einem handelsrechtlichen Buchgewinn von Fr. .... Der Kanton Graubünden, der dem dualistischen System folgt, hat auf der innerkantonalen Ebene den dergestalt ermittelten Wertzuwachsgewinn vollumfänglich in die Ermittlung des steuerbaren Reingewinns (bzw. des satzbestimmenden Gewinns) einbezogen. Dieses Vorgehen, das im Übrigen auch auf Ebene der Bundessteuer Anwendung findet ( Art. 58 Abs. 1 DBG ), entspricht den harmonisierungsrechtlichen Vorgaben (Art. 24 Abs. 1 i. V. m. Art. 12 Abs. 1 StHG bzw. Art. 79 Abs. 1 i. V. m. Art. 41 Abs. 1 lit. a StG /GR e contrario). Der Kanton Graubünden hat damit dem Prinzip der Massgeblichkeit der Handelsbilanz entsprochen ("le principe de l'autorité du bilan commercial ou de déterminance"; BGE 137 II 353 E. 6.2 S. 360 f.; 136 II 88 E. 3.1 S. 92 ; 132 I 175 E. 2.2 S. 177 f.; 119 Ib 111 E. 2c S. 115). Nicht bestritten und deswegen nicht weiter zu prüfen sind der in der Steuerperiode 2007 eingetretene Betriebsverlust (rund Fr. ... Mio.) und der aus Vorperioden stammende Verlust von ca. Fr. ... Mio. Innerkantonal ergab sich auf diese Weise ein Gesamtverlust von gerundet Fr. ... Mio.</w:t>
      </w:r>
    </w:p>
    <w:p>
      <w:r>
        <w:rPr>
          <w:b/>
        </w:rPr>
        <w:t>E. 3.3.2</w:t>
      </w:r>
    </w:p>
    <w:p>
      <w:r>
        <w:t>Ebenso bundesrechtskonform zog die Steuerverwaltung des Kantons Graubünden für die Zwecke der interkantonalen Steuerausscheidung einen Gesamtverlust von rund Fr. ... Mio. heran, wenngleich am Ort der gelegenen Sache (Zürich) ein Grundstückgewinn von null Franken entstanden war. Zum einen führte sie auf diese Weise vergleichbare Verhältnisse herbei, nachdem die beiden Kantone unterschiedlichen Systemen folgen. Sie tat dies, indem sie in einer ersten Phase alle Wertzuwachsgewinne in vollem Umfang in die Steuerausscheidung einbezog. Zum andern berücksichtigte sie den Umstand, dass (auch) der Grundstückkanton einen etwaigen Betriebsverlust mitzutragen hat, konkret die eigene Quote nebst den Verlustanteilen des Hauptsteuerdomizils und der sekundären Steuerdomizile (Verlust des Laufjahrs nebst den noch nicht verrechneten Vorjahresverlusten).</w:t>
      </w:r>
    </w:p>
    <w:p>
      <w:r>
        <w:rPr>
          <w:b/>
        </w:rPr>
        <w:t>E. 3.3.3</w:t>
      </w:r>
    </w:p>
    <w:p>
      <w:r>
        <w:t>Aus diesem Grund kann der Grundstückkanton - in einer zweiten Phase - einzig den noch verbleibenden Grundstückgewinn beanspruchen (E. 2.3.3 hiervor). Vor diesem Hintergrund hat der (innerkantonal) im Kanton Zürich massgebende "Verkehrswert vor zwanzig Jahren" doppelbesteuerungsrechtlich zurückzutreten. Gemäss BGE 131 I 249 wäre eine Rückübertragung des Grundstückgewinns an den Kanton Zürich lediglich dann in Frage gekommen, wenn der Betriebsverlust (inkl. Vorjahresverluste) den Grundstückgewinn nur teilweise konsumiert hätte (sodass per saldo ein geschmälerter Grundstückgewinn vorgelegen hätte). Dies war aber nicht der Fall. Betriebsverlust 2007 und noch nicht verrechnete Vorjahresverluste haben den handelsrechtlichen Grundstückgewinn vollumfänglich getilgt. Infolgedessen hat es zu keiner Rückübertragung eines (Teil-) Gewinns an den Grundstückkanton kommen können.</w:t>
      </w:r>
    </w:p>
    <w:p>
      <w:r>
        <w:rPr>
          <w:b/>
        </w:rPr>
        <w:t>E. 3.3.4</w:t>
      </w:r>
    </w:p>
    <w:p>
      <w:r>
        <w:t>Bundesrechtskonform hat schon die Stadt C.________/ZH bei ihrer Ermittlung des steuerbaren Grundstückgewinns auf eine Nullveranlagung geschlossen. Eine solche ergab sich zwar bereits aufgrund des kantonalen Rechts, doch hielt die Behörde in ihrem Entscheid fest: "Der Verlust wird anerkannt. Die Höhe des Verlustes wurde nicht geprüft." Die Vorinstanz schliesst daraus, dies zeige, "dass über die Verlustverrechnung noch nicht definitiv entschieden wurde". Die Folgerung, die Verlustverrechnung sei einstweilen noch nicht abschliessend geregelt worden, entspringt der von der Vorinstanz getroffenen Beweiswürdigung. Die Beweiswürdigung, selbst wenn sie auf Indizien beruht, und die sich daraus ergebenden tatsächlichen Schlussfolgerungen stellen Tatfragen dar ( BGE 133 V 477 E. 6.1 S. 485, 504 E. 3.2 S. 507; 132 V 393 E. 3.3 S. 399; Urteil 2C_353/2013 vom 23. Oktober 2013 E. 3.3 mit Hinweisen). Demzufolge kann das Bundesgericht die vorgenommene Beweiswürdigung lediglich unter dem beschränkten Gesichtswinkel der Willkür prüfen (E. 1.7 hiervor). Angesichts dessen, dass (schon) innerkantonal eine Nullveranlagung eingetreten war, ist die Vorinstanz haltbar zum Schluss gekommen, der ergänzende Hinweis beziehe sich auf die interkantonale Steuerausscheidung. Dies ist jedenfalls nicht willkürlich. Dabei kann berücksichtigt werden, dass das Kantonale Steueramt Zürich sich in seiner Vernehmlassung dem Ergebnis (Nullveranlagung in beiden Kantonen) anschliesst.</w:t>
      </w:r>
    </w:p>
    <w:p>
      <w:r>
        <w:rPr>
          <w:b/>
        </w:rPr>
        <w:t>E. 3.4</w:t>
      </w:r>
    </w:p>
    <w:p>
      <w:r>
        <w:t>Zusammenfassend kann nicht mit Recht behauptet werden, die interkantonale Verlustübernahme führe zu einer virtuellen Doppelbelastung oder einer Verletzung des Schlechterstellungsverbots (zu beidem Urteil 2C_708/2012 vom 21. Dezember 2012 E. 2.1, nicht publ. in: BGE 139 I 64 , aber in: StE 2013 A 24.44.1 Nr. 3, StR 68/2013 S. 212). Weder überschreitet der Kanton Graubünden in Verletzung der geltenden Kollisionsnormen seine Steuerhoheit und erhebt er dabei eine Steuer, die dem Kanton Zürich zusteht, noch wird die Steuerpflichtige im Kanton Graubünden deshalb stärker belastet, weil sie nicht im vollen Umfang seiner Steuerhoheit untersteht, sondern zufolge ihrer territorialen Beziehungen auch im Kanton Zürich steuerpflichtig ist.</w:t>
      </w:r>
    </w:p>
    <w:p>
      <w:r>
        <w:rPr>
          <w:b/>
        </w:rPr>
        <w:t>E. 4.1</w:t>
      </w:r>
    </w:p>
    <w:p>
      <w:r>
        <w:t>Damit erweist sich das angefochtene Urteil in allen Teilen als bundesrechtskonform. Die Beschwerde ist als unbegründet abzuweisen, soweit darauf einzutreten ist, und der angefochtene Entscheid ist zu bestätigen.</w:t>
      </w:r>
    </w:p>
    <w:p>
      <w:r>
        <w:rPr>
          <w:b/>
        </w:rPr>
        <w:t>E. 4.2</w:t>
      </w:r>
    </w:p>
    <w:p>
      <w:r>
        <w:t>Die Beschwerdeführerin hat aufgrund ihres Unterliegens die Kosten des bundesgerichtlichen Verfahrens zu tragen ( Art. 65 und 66 Abs. 1 BGG ). Dem Kanton Graubünden,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