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318/2024 vom 24. Juni 2024</w:t>
      </w:r>
    </w:p>
    <w:p>
      <w:r>
        <w:t>Bundesgericht, 2024-06-24, DE</w:t>
      </w:r>
    </w:p>
    <w:p>
      <w:r>
        <w:rPr>
          <w:b/>
        </w:rPr>
        <w:t xml:space="preserve">Quelle: </w:t>
      </w:r>
      <w:r>
        <w:t>https://mcp.opencaselaw.ch/entscheid/bger_2C_318_2024</w:t>
      </w:r>
    </w:p>
    <w:p>
      <w:r>
        <w:t>FR: TF 2C 318/2024 du 24 juin 2024</w:t>
      </w:r>
    </w:p>
    <w:p>
      <w:r>
        <w:t>IT: TF 2C 318/2024 del 24 giugno 2024</w:t>
      </w:r>
    </w:p>
    <w:p>
      <w:pPr>
        <w:pStyle w:val="Heading2"/>
      </w:pPr>
      <w:r>
        <w:t>Regeste</w:t>
      </w:r>
    </w:p>
    <w:p>
      <w:r>
        <w:t>Widerruf der Aufenthaltsbewilligung EU/EFTA und Verweigerung einer Aufenthaltsbewilligung nach AIG sowie Wegweisung infolge Auflösung der Ehegemeinschaft | Bürgerrecht und Ausländerrecht</w:t>
      </w:r>
    </w:p>
    <w:p>
      <w:pPr>
        <w:pStyle w:val="Heading2"/>
      </w:pPr>
      <w:r>
        <w:t>Erwägungen</w:t>
      </w:r>
    </w:p>
    <w:p>
      <w:r>
        <w:rPr>
          <w:b/>
        </w:rPr>
        <w:t>E. 1.1</w:t>
      </w:r>
    </w:p>
    <w:p>
      <w:r>
        <w:t>A.________ (geb. 1991), kosovarischer Staatsangehöriger, heiratete am 5. April 2018 in Kosovo eine slowakische Staatsangehörige. Am 19. Juni 2019 reiste er im Familiennachzug in die Schweiz ein und erhielt gestützt auf seine Ehe eine Aufenthaltsbewilligung EU/EFTA, welche zuletzt bis 30. November 2024 verlängert wurde. Seit dem 30. Mai 2022 lebt das Paar getrennt. Mit Verfügung vom 22. September 2022 widerrief die Einwohnergemeinde Bern, Einwohnerdienste, Migration und Fremdenpolizei, die Aufenthaltsbewilligung von A.________ und wies ihn aus der Schweiz weg. Die dagegen erhobene Beschwerde wies die Sicherheitsdirektion mit Entscheid vom 16. August 2023 ab.</w:t>
      </w:r>
    </w:p>
    <w:p>
      <w:r>
        <w:rPr>
          <w:b/>
        </w:rPr>
        <w:t>E. 1.2</w:t>
      </w:r>
    </w:p>
    <w:p>
      <w:r>
        <w:t>Mit Urteil vom 17. Mai 2024 wies das Verwaltungsgericht des Kantons Bern, Verwaltungsrechtliche Abteilung, eine gegen diesen Entscheid erhobene Beschwerde von A.________ ab, soweit es darauf eintrat.</w:t>
      </w:r>
    </w:p>
    <w:p>
      <w:r>
        <w:rPr>
          <w:b/>
        </w:rPr>
        <w:t>E. 1.3</w:t>
      </w:r>
    </w:p>
    <w:p>
      <w:r>
        <w:t>A.________ gelangt mit Beschwerde in öffentlich-rechtlichen Angelegenheiten an das Bundesgericht und beantragt, es sei das Urteil vom 17. Mai 2024 aufzuheben und es sei ihm die Aufenthaltsbewilligung zu belassen bzw. zu erteilen. Prozessual ersucht er um aufschiebende Wirkung. 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(vgl. BGE 150 I 39 , nicht publ. E. 2.1).</w:t>
      </w:r>
    </w:p>
    <w:p>
      <w:r>
        <w:rPr>
          <w:b/>
        </w:rPr>
        <w:t>E. 2.3</w:t>
      </w:r>
    </w:p>
    <w:p>
      <w:r>
        <w:t>Dem Beschwerdeführer war eine Aufenthaltsbewilligung EU/EFTA gestützt auf seine Ehe mit einer EU-Angehörigen erteilt worden. Die Aufenthaltsbewilligungen nach FZA (SR 0.142.112.681) können widerrufen werden, wenn die Voraussetzungen nicht mehr erfüllt sind, welche den Aufenthaltsanspruch begründen (Art. 23 VFP [SR 142.203]; vgl. BGE 144 II 1 E. 3.1). Da seine Ehe mit einer EU-Angehörigen aufgelöst wurde, kann der Beschwerdeführer keine Aufenthaltsrechte mehr aus dem FZA ableiten, was er im Übrigen auch nicht tut.</w:t>
      </w:r>
    </w:p>
    <w:p>
      <w:r>
        <w:rPr>
          <w:b/>
        </w:rPr>
        <w:t>E. 2.4</w:t>
      </w:r>
    </w:p>
    <w:p>
      <w:r>
        <w:t>Im vorinstanzlichen Verfahren machte der Beschwerdeführer insbesondere einen selbständigen Bewilligungsanspruch gestützt auf einen nachehelichen Härtefall gemäss Art. 50 Abs. 1 lit. b AIG (SR 142.20) geltend. Die Vorinstanz kam diesbezüglich zum Schluss, dass die entsprechenden Voraussetzungen nicht erfüllt seien. Im vorliegenden bundesgerichtlichen Verfahren beruft sich der Beschwerdeführer nicht mehr auf diese Bestimmung und legt demzufolge auch nicht dar ( Art. 42 Abs. 2 BGG ), dass die Vorinstanz Recht verletzt habe, indem sie im seinem Fall einen nachehelichen Härtefall im Sinne von Art. 50 Abs. 1 lit. b AIG verneint hat. Daher ist diese Frage vorliegend nicht mehr zu prüfen (vgl. E. 2.2 hiervor).</w:t>
      </w:r>
    </w:p>
    <w:p>
      <w:r>
        <w:rPr>
          <w:b/>
        </w:rPr>
        <w:t>E. 2.5</w:t>
      </w:r>
    </w:p>
    <w:p>
      <w:r>
        <w:t>Er bringt indessen vor, er habe aufgrund seiner sehr engen Beziehung zu seinen (erwachsenen) Geschwistern, die im Besitz von Niederlassungsbewilligungen seien, Anspruch auf Erteilung einer (neuen) Aufenthaltsbewilligung gestützt auf Art. 8 EMRK . Der Schutz des Familienlebens im Sinne von Art. 8 EMRK bezieht sich in erster Linie auf die Kernfamilie, d.h. auf die Gemeinschaft der Eltern mit ihren minderjährigen Kindern (vgl. BGE 144 I 266 E. 3.3; 144 II 1 E. 6.1; jeweils mit Hinweisen). In den Schutzbereich von Art. 8 EMRK fallen aber auch andere familiäre Verhältnisse, sofern eine genügend nahe, echte und tatsächlich gelebte Beziehung besteht.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BGE 147 I 268 E. 1.2.3; 144 II 1 E. 6.1 mit Hinweisen). Erforderlich dazu wäre etwa eine eigentliche Pflege- und Betreuungsbedürftigkeit oder eine schwerwiegende Krankheit (vgl. Urteile 2C_100/2018 vom 7. Februar 2018 E. 2.2; 2C_133/2016 vom 9. Februar 2016 E. 2.3). Der Beschwerdeführer führt aus, er habe eine sehr enge Beziehung zu seinen Geschwistern in der Schweiz, die über das übliche Mass einer Geschwisterbeziehung hinausgehe. Zudem behauptet er, er sei aus gesundheitlichen Gründen auf deren Unterstützung angewiesen, wobei er die angeblichen gesundheitlichen Probleme nicht weiter substanziiert. Schliesslich sei er im Betrieb seines Bruders angestellt, sodass er auch finanziell von diesem abhängig sei. Daher sei das Abhängigkeitsverhältnis "evident". Mit diesen Ausführungen, die über blosse unbelegte Behauptungen nicht hinausgehen, vermag der gemäss den für das Bundesgericht verbindlichen Sachverhaltsfeststellungen der Vorinstanz ( Art. 105 Abs. 1 BGG ) voll arbeits- und leistungsfähige Beschwerdeführer in keiner Weise darzutun, dass ein besonderes Abhängigkeitsverhältnis im Sinne der Rechtsprechung zu seinen erwachsenen Geschwistern besteht. Folglich gelingt es ihm nicht, in vertretbarer Weise darzutun, dass er einen potenziellen Bewilligungsanspruch aufgrund seiner Beziehung zu seinen Geschwistern hat.</w:t>
      </w:r>
    </w:p>
    <w:p>
      <w:r>
        <w:rPr>
          <w:b/>
        </w:rPr>
        <w:t>E. 2.6</w:t>
      </w:r>
    </w:p>
    <w:p>
      <w:r>
        <w:t>Ein anderweitiger Anspruch auf Erteilung einer Aufenthaltsbewilligung wird nicht in vertretbarer Weise geltend gemacht und ist auch nicht offensichtlich (vgl. E. 2.1 hiervor). So kann der kinderlose Beschwerdeführer, der sich erst seit Juni 2019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w:t>
      </w:r>
    </w:p>
    <w:p>
      <w:r>
        <w:rPr>
          <w:b/>
        </w:rPr>
        <w:t>E. 3.1</w:t>
      </w:r>
    </w:p>
    <w:p>
      <w:r>
        <w:t>Die Beschwerde erweist sich damit als offensichtlich unzulässig bzw. unbegründet. Es ist darauf mit Entscheid der Abteilungspräsidentin als Einzelrichterin im vereinfachten Verfahren nach Art. 108 BGG (Abs. 1 lit. a und b) nicht einzutreten. Damit wird das Gesuch um aufschiebende Wirkung gegenstandslos.</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