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315/2007 vom 19. Oktober 2007</w:t>
      </w:r>
    </w:p>
    <w:p>
      <w:r>
        <w:t>Bundesgericht, 2007-10-19, FR</w:t>
      </w:r>
    </w:p>
    <w:p>
      <w:r>
        <w:rPr>
          <w:b/>
        </w:rPr>
        <w:t xml:space="preserve">Quelle: </w:t>
      </w:r>
      <w:r>
        <w:t>https://mcp.opencaselaw.ch/entscheid/bger_2C_315_2007</w:t>
      </w:r>
    </w:p>
    <w:p>
      <w:r>
        <w:t>FR: TF 2C 315/2007 du 19 octobre 2007</w:t>
      </w:r>
    </w:p>
    <w:p>
      <w:r>
        <w:t>IT: TF 2C 315/2007 del 19 ottobre 2007</w:t>
      </w:r>
    </w:p>
    <w:p>
      <w:pPr>
        <w:pStyle w:val="Heading2"/>
      </w:pPr>
      <w:r>
        <w:t>Regeste</w:t>
      </w:r>
    </w:p>
    <w:p>
      <w:r>
        <w:t>classement partiel d'une dénonciation | Droit fondamental</w:t>
      </w:r>
    </w:p>
    <w:p>
      <w:pPr>
        <w:pStyle w:val="Heading2"/>
      </w:pPr>
      <w:r>
        <w:t>Erwägungen</w:t>
      </w:r>
    </w:p>
    <w:p>
      <w:r>
        <w:rPr>
          <w:b/>
        </w:rPr>
        <w:t>E. 1</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 Cette disposition reprend en particulier les exigences qui prévalaient sous l'empire de l' art. 103 lettre a OJ pour le recours de droit administratif (cf. Message du Conseil fédéral concernant la révision totale de l'organisation judiciaire fédérale du 28 février 2001, FF 2001 p. 4126). Selon la jurisprudence applicable au recours de droit administratif, dont il n'y a pas lieu de s'écarter (cf. ATF 133 II 249 consid. 1.3.1 p. 253),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 ATF 130 V 196 consid. 3 p. 202/203; 128 V 34 consid. 1a p. 36 et les arrêts cités). Le recours d'un particulier formé dans l'intérêt général ou dans l'intérêt d'un tiers est exclu. Cette exigence a été posée de manière à empêcher l'action populaire au niveau de la juridiction administrative fédérale (cf. ATF 131 II 649 consid. 3.1 p. 651 et les arrêts cités). C'est d'ailleurs dans ce sens que le législateur a rendu encore plus stricte la condition de l'intérêt personnel au recours en matière de droit public, précisant à l' art. 89 al. 1 lettre b LTF que le recourant doit être "particulièrement atteint" par l'acte attaqué; celui-ci doit donc avoir un intérêt personnel qui se distingue nettement de l'intérêt général des autres membres de la collectivité dont l'organe a statué (Message du 28 février 2001 concernant la révision totale de l'organisation judiciaire fédérale [ci-après: le Message], FF 2001 p. 4127). D'après la doctrine, ce "signal rédactionnel" ne fait que confirmer la tendance de la jurisprudence à resserrer la portée de l'intérêt digne de protection, particulièrement en ce qui concerne la légitimation des tiers (Etienne Poltier, Le recours en matière de droit public, in: La nouvelle loi sur le Tribunal fédéral, Publication CEDIDAC 71, Lausanne 2007, p. 159; Karl Spühler / Annette Dolge / Dominik Vock, Kurzkommentar zum Bundesgerichtsgesetz, Zurich/St. Gallen 2006, n. 4 ad art. 89 p. 167; Regina Kiener, Die Beschwerde in öffentlich-rechtlichen Angelegenheiten, in: Neue Bundesrechtspflege, Berner Tage für die juristische Praxis 2006, Bern 2007, p. 256; Heinz Aemisegger, Der Beschwerdegang in öffentlich-rechtlichen Angelegenheiten, in: Die Reorganisation des Bundesrechtspflege - Neuerungen und Auswirkungen in der Praxis, St. Gallen 2006, p. 151; Hansjörg Seiler/Nicolas von Werdt/Andreas Güngerich, Kommentar zum Bundesgerichtsgesetz, Bern 2007, n. 19 ss ad art. 89 p. 361 ss).</w:t>
      </w:r>
    </w:p>
    <w:p>
      <w:r>
        <w:rPr>
          <w:b/>
        </w:rPr>
        <w:t>E. 2</w:t>
      </w:r>
    </w:p>
    <w:p>
      <w:r>
        <w:t>En l'espèce, l'arrêt attaqué confirme, sur recours, le refus de la Chambre des notaires d'entrer en matière sur la dénonciation déposée par le recourant contre l'intimé.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(cf. André Grisel, Traité de droit administratif, vol. II, Neuchâtel 1984, p. 950 ss; Blaise Knapp, Précis de droit administratif, 4ème éd., Bâle 1991, p. 375/376; Pierre Moor, Droit administratif, vol. III, 2ème éd., Berne 1992, p. 13/14). Par conséquent, la seule qualité de dénonciateur ne donne pas le droit de recourir contre la décision prise à la suite de la dénonciation; le dénonciateur doit encore pouvoir invoquer un intérêt digne de protection à ce que l'autorité de surveillance intervienne (cf. ATF 120 Ib 351 consid. 3a p. 355).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 ATF 132 II 250 consid. 4.2 p. 254 et 129 II 297 consid. 3.1 p. 302/303 et les références). En effet, la procédure de surveillance disciplinaire des avocats a pour but d'assurer l'exercice correct de la profession par les avocats et de préserver la confiance du public à leur égard et non de défendre les intérêts privés des particuliers ( ATF 132 II 250 consid. 4.4 p. 255; 108 Ia 230 consid. 2b p. 232). Dans le cas particulier, le recourant a dénoncé l'intimé à la Chambre des notaires, car il estimait que celui-ci avait violé la loi vaudoise sur le notariat et que son comportement devait être sanctionné. Dans son recours au Tribunal fédéral, il est d'avis que "l'arrêt entrepris aurait dû constater que le notaire Y.________ avait violé de manière importante et répétée l'art. 57 de la loi du 10 décembre 1956 sur le notariat". En parallèle à la présente procédure, l'intéressé a ouvert action devant le Tribunal civil d'arrondissement de la Côte, le 31 août 2005, afin d'obtenir réparation de son éventuel dommage matériel. Il a ainsi un certain intérêt à faire sanctionner disciplinairement l'intimé, afin d'en tirer profit dans la procédure civile. Cet intérêt est toutefois de pur fait et sort manifestement du cadre délimité par l'objet de la contestation, dans la mesure où la procédure de surveillance disciplinaire des notaires - tout comme celle des avocats - vise à assurer l'exercice correct de la profession et à préserver la confiance du public. Par ailleurs, au cas où le but recherché par le recourant serait également la défense de l'intérêt public, il sied de rappeler que l'action populaire est exclue en procédure fédérale. Dans ces circonstances, il apparaît que le recourant n'est pas "particulièrement atteint" par l'arrêt attaqué au sens de l' art. 89 al. 1 lettre b LTF et n'a pas d'intérêt digne de protection à obtenir son annulation. Peu importe au demeurant qu'il ait pris valablement part à la procédure devant l'autorité intimée.</w:t>
      </w:r>
    </w:p>
    <w:p>
      <w:r>
        <w:rPr>
          <w:b/>
        </w:rPr>
        <w:t>E. 3</w:t>
      </w:r>
    </w:p>
    <w:p>
      <w:r>
        <w:t>Il résulte de ce qui précède que le recours est irrecevable. Succombant, le recourant doit supporter les frais judiciaires ( art. 65 et 66 al. 1 LTF ) et n'a pas droit à des dépens ( art. 68 al. 1 LTF ). En revanche, l'intimé a droit à une indemnité de dépens, qu'il convient de mettre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