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2C_311/2018 vom 24. April 2019</w:t>
      </w:r>
    </w:p>
    <w:p>
      <w:r>
        <w:t>Bundesgericht, 2019-04-24, FR</w:t>
      </w:r>
    </w:p>
    <w:p>
      <w:r>
        <w:rPr>
          <w:b/>
        </w:rPr>
        <w:t xml:space="preserve">Quelle: </w:t>
      </w:r>
      <w:r>
        <w:t>https://mcp.opencaselaw.ch/entscheid/bger_2C_311_2018</w:t>
      </w:r>
    </w:p>
    <w:p>
      <w:r>
        <w:t>FR: TF 2C_311/2018 du 24 avril 2019</w:t>
      </w:r>
    </w:p>
    <w:p>
      <w:r>
        <w:t>IT: TF 2C_311/2018 del 24 aprile 2019</w:t>
      </w:r>
    </w:p>
    <w:p>
      <w:pPr>
        <w:pStyle w:val="Heading2"/>
      </w:pPr>
      <w:r>
        <w:t>Erwägungen</w:t>
      </w:r>
    </w:p>
    <w:p>
      <w:r>
        <w:rPr>
          <w:b/>
        </w:rPr>
        <w:t>E. 1</w:t>
      </w:r>
    </w:p>
    <w:p>
      <w:r>
        <w:t>L'instance précédente a rendu une seule décision valant tant pour l'impôt fédéral direct que pour les impôts cantonaux et communaux du contribuable, ce qui est en principe admissible, dès lors qu'il ressort clairement de ladite décision que le litige porte sur les deux catégories d'impôts (cf. ATF 135 II 260 consid. 1.3.1 p. 262). Dans ces circonstances, on ne peut reprocher au recourant d'avoir formé un seul recours au Tribunal fédéral (cf. ATF 135 II 260 consid. 1.3.2 p. 263 s.). Il faut cependant qu'il ressorte de la motivation du recours, comme c'est bien le cas en l'espèce, qu'il s'en prend tant à l'impôt fédéral direct qu'à l'impôt cantonal et communal pour que ces deux catégories d'impôts puissent être revues par le Tribunal fédéral ( ATF 135 II 260 consid. 1.3.2 p. 263 s.; arrêt 2C_445/2015 du 26 août 2016 consid. 2.1).</w:t>
      </w:r>
    </w:p>
    <w:p>
      <w:r>
        <w:rPr>
          <w:b/>
        </w:rPr>
        <w:t>E. 2</w:t>
      </w:r>
    </w:p>
    <w:p>
      <w:r>
        <w:t>Le recourant se plaint de la constatation inexacte des faits par l'instance précédente.</w:t>
      </w:r>
    </w:p>
    <w:p>
      <w:r>
        <w:rPr>
          <w:b/>
        </w:rPr>
        <w:t>E. 2.1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2C_912/2015 du 20 septembre 2016 consid. 2.3; 2C_649/2015 du 1er avril 2016 consid. 2.1; 2C_694/2015 du 15 février 2016 consid. 2.3 et les références citées).</w:t>
      </w:r>
    </w:p>
    <w:p>
      <w:r>
        <w:rPr>
          <w:b/>
        </w:rPr>
        <w:t>E. 2.2</w:t>
      </w:r>
    </w:p>
    <w:p>
      <w:r>
        <w:t>En premier lieu, le recourant reproche à l'instance précédente d'avoir retenu qu' "</w:t>
      </w:r>
    </w:p>
    <w:p>
      <w:r>
        <w:t>en février 1988, il a acquis les parcelles nos ***1 et ***2 à la route de Z.________ comprenant des locaux commerciaux, d'une surface de 910 m2, ainsi que des parkings ", alors que, selon lui, il en aurait acquis 15 (en PPE) à des dates différentes, entre avril 1988 et octobre 1992, ce qui aurait une influence sur la prépondérance commerciale ou privée de ceux-ci et donc sur son imposition.</w:t>
      </w:r>
    </w:p>
    <w:p>
      <w:r>
        <w:t>Ce grief doit être écarté. Il ne suffit pas de citer les termes de l'arrêt attaqué dont le contenu serait inexact. Il faut aussi se référer aux pièces qui ont été versées au dossier de l'instance précédente et démontrer que les faits litigieux qui en ressortent ont été dûment et correctement allégués devant elle, ce qu'en l'espèce, le recourant n'a pas fait et ne peut du reste faire, puisqu'il s'agit en réalité de faits nouveaux au sens de l' art. 99 LTF , qui sont irrecevables. Au demeurant, force est de constater que le recourant lui-même a toujours considéré l'immeuble comme un tout puisqu'il l'a vendu en bloc en 2013.</w:t>
      </w:r>
    </w:p>
    <w:p>
      <w:r>
        <w:rPr>
          <w:b/>
        </w:rPr>
        <w:t>E. 2.3</w:t>
      </w:r>
    </w:p>
    <w:p>
      <w:r>
        <w:t>En second lieu, le recourant reproche à l'instance précédente d'avoir retenu qu' "</w:t>
      </w:r>
    </w:p>
    <w:p>
      <w:r>
        <w:t>il indiquait en outre dans les observations que le Laboratoire A.________ avait cessé ses activités au 31 décembre 2009 en raison des pertes qu'elle avait subies ", alors qu'il aurait écrit dans dites observations que "</w:t>
      </w:r>
    </w:p>
    <w:p>
      <w:r>
        <w:t>mon laboratoire A.________, créé il y a 29 ans, a fermé le 31.12.2009 à cause des pertes, suite à la chute massive des prix des analyses médicales imposée par M. Couchepin. Le bilan 2010 du Laboratoire A.________ ci-joint concerne le reliquat des factures des années précédentes encaissées en 2010 ainsi que des factures des années précédentes payées en 2010 ". Il serait, selon lui, clair et évident que l'activité de A.________ a continué en 2010, qu'elle a fait l'objet de comptes annuels 2010 et d'un résultat dûment reporté dans sa déclaration 2010. La correction du vice, c'est-à-dire dater la cessation de l'activité du Laboratoire A.________ en fin 2010, aurait une influence sur le sort du litige, puisque la prépondérance commerciale a été établie sur des faits survenus en 2009 et non pas sur les faits survenus en 2010.</w:t>
      </w:r>
    </w:p>
    <w:p>
      <w:r>
        <w:t>Ce grief doit aussi être écarté dans la mesure où il peut être examiné. Le recourant s'en prend en réalité à l'appréciation des preuves par l'instance précédente, qui a jugé que la remarque figurant dans les observations de la déclaration fiscale 2010 devait être comprise comme une cessation de l'activité du Laboratoire A.________ au 31 décembre 2009. Le recourant n'invoque pas l'interdiction de l'arbitraire et n'expose pas en quoi l'appréciation de l'instance précédente serait insoutenable. Son grief ne répond pas aux exigences de motivation accrue en matière de violation des droits constitutionnels telles qu'elles sont prévues par l' art. 106 al. 2 LTF . A cela s'ajoute que le recourant a lui-même produit le contrat du 15 décembre 2010 entre B.________ SA et la raison individuelle Laboratoire A.________, concernant la reprise de la totalité de la patientèle, du mobilier, du personnel, des contrats et des leasings de la seconde par la première à compter du 1er janvier 2010 pour 1 fr. symbolique. Il est indifférent qu'ensuite la raison individuelle ait ultérieurement poursuivi ses opérations de liquidation.</w:t>
      </w:r>
    </w:p>
    <w:p>
      <w:r>
        <w:rPr>
          <w:b/>
        </w:rPr>
        <w:t>E. 2.4</w:t>
      </w:r>
    </w:p>
    <w:p>
      <w:r>
        <w:t>Il résulte des considérants qui précédent que l'état de fait de l'arrêt attaqué ne peut pas être corrigé ni complété sur ces points. Les griefs sont rejetés.</w:t>
      </w:r>
    </w:p>
    <w:p>
      <w:r>
        <w:rPr>
          <w:b/>
        </w:rPr>
        <w:t>E. 3</w:t>
      </w:r>
    </w:p>
    <w:p>
      <w:r>
        <w:t>Les griefs du recourant tendant à démontrer la violation du droit fédéral, en particulier des art. 18 LIFD et 8 LHID, reposent sur des faits qui ne ressortent pas de l'arrêt attaqué (cf. consid. 2 ci-dessus). Il n'est par conséquent pas possible d'en examiner l'éventuel bien fondé, puisque les prémisses sur lesquels ils reposent ne peuvent pas être prises en compte.</w:t>
      </w:r>
    </w:p>
    <w:p>
      <w:r>
        <w:rPr>
          <w:b/>
        </w:rPr>
        <w:t>E. 4</w:t>
      </w:r>
    </w:p>
    <w:p>
      <w:r>
        <w:t>Pour le surplus, il peut être renvoyé aux considérants de l'arrêt attaqué qui exposent correctement le contenu des art. 18 LIFD et 8 LHID ainsi que la jurisprudence applicable. C'est le lieu de rappeler avec l'instance précédente que la prépondérance peut être établie à l'aide d'autres critères, tels que la superficie, le volume intérieur ou l'octroi d'amortissements dans des cas limites (arrêt du Tribunal fédéral 2C_728/2015 du 1er avril 2016 consid. 6.1 et les références citées), et que la prise en considération d'une sous-utilisation effective n'entre pas en ligne de compte (ch. 2.1 de la notice annexée à la circulaire de l'administration fédérale des contributions du 12 novembre 1992).</w:t>
      </w:r>
    </w:p>
    <w:p>
      <w:r>
        <w:t>En l'espèce, non seulement le critère des rendements permet de conclure à la prépondérance commerciale des locaux, mais également le critère relatif aux surfaces occupées, puisque les activités du Laboratoire A.________ s'étalait sur 300 m2, soit sur une surface largement supérieure à celles de B.________ SA et C.________ SA au 31 décembre 2009, soit respectivement 50 m2 et 125 m2, la surface vacante, de 435 m2, ne pouvant entrer en ligne de compte pour ce calcul.</w:t>
      </w:r>
    </w:p>
    <w:p>
      <w:r>
        <w:t>En confirmant que le bénéfice en capital d'un montant de 1'902'900 fr. réalisé lors du transfert des locaux de la fortune commerciale du recourant dans sa fortune privée devait être ajouté au revenu imposable de la période fiscale 2010, l'instance précédente n'a pas violé les art. 18 LIFD et 8 LHID.</w:t>
      </w:r>
    </w:p>
    <w:p>
      <w:r>
        <w:rPr>
          <w:b/>
        </w:rPr>
        <w:t>E. 5</w:t>
      </w:r>
    </w:p>
    <w:p>
      <w:r>
        <w:t>Les considérants qui précèdent conduisent au rejet du recours en matière d'impôt fédéral direct et en matière d'impôt cantonal et communal. Succombant, le recourant doit supporter les frais de la procédure fédérale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