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2C_311/2009 vom 5. Januar 2010</w:t>
      </w:r>
    </w:p>
    <w:p>
      <w:r>
        <w:t>Bundesgericht, 2010-01-05, DE</w:t>
      </w:r>
    </w:p>
    <w:p>
      <w:r>
        <w:rPr>
          <w:b/>
        </w:rPr>
        <w:t xml:space="preserve">Quelle: </w:t>
      </w:r>
      <w:r>
        <w:t>https://mcp.opencaselaw.ch/entscheid/bger_2C_311_2009</w:t>
      </w:r>
    </w:p>
    <w:p>
      <w:r>
        <w:t>FR: TF 2C_311/2009 du 5 janvier 2010</w:t>
      </w:r>
    </w:p>
    <w:p>
      <w:r>
        <w:t>IT: TF 2C_311/2009 del 5 gennaio 2010</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BS 1 121; in Kraft gewesen bis 31. Dezember 2007), das hier unbestrittenermassen noch anwendbar ist (vgl. Art. 126 des Bundesgesetzes vom 16. Dezember 2005 über die Ausländerinnen und Ausländer [AuG; SR 142.20] ), entscheiden die zuständigen Behörden, im Rahmen der gesetzlichen Vorschriften und der Verträge mit dem Ausland, nach freiem Ermessen über die Bewilligung von Aufenthalt und Niederlassung. Es besteht damit grundsätzlich kein Anspruch auf Erteilung einer entsprechenden Bewilligung, es sei denn, der Ausländer oder seine in der Schweiz lebenden Angehörigen könnten sich auf eine Sondernorm des Bundesrechts (einschliesslich Bundesverfassungsrecht) oder eines Staatsvertrages berufen ( BGE 135 II 1 E. 1.1 S. 3 f. mit Hinweisen).</w:t>
      </w:r>
    </w:p>
    <w:p>
      <w:r>
        <w:rPr>
          <w:b/>
        </w:rPr>
        <w:t>E. 1.2</w:t>
      </w:r>
    </w:p>
    <w:p>
      <w:r>
        <w:t>Gegen Entscheide über den Widerruf oder die Feststellung des Erlöschens einer Niederlassungsbewilligung ist die Beschwerde in öffentlich-rechtlichen Angelegenheiten zulässig, weil grundsätzlich ein Anspruch auf das Fortbestehen dieser Bewilligung gegeben ist ( BGE 135 II 1 E. 1.2.1 S. 4. mit Hinweis). Auf die im Übrigen form- und fristgerecht eingereichte Beschwerde kann daher grundsätzlich eingetreten werden (vgl. jedoch E. 1.3 hiernach).</w:t>
      </w:r>
    </w:p>
    <w:p>
      <w:r>
        <w:rPr>
          <w:b/>
        </w:rPr>
        <w:t>E. 1.3</w:t>
      </w:r>
    </w:p>
    <w:p>
      <w:r>
        <w:t>Nicht zulässig ist das erhobene Rechtsmittel dagegen insoweit, als der Beschwerdeführer eventualiter - für den Fall, dass der Widerruf der Niederlassungsbewilligung geschützt wird - beantragt, es sei ihm eine Aufenthaltsbewilligung zu erteilen. Diesbezüglich fehlt es an einem Rechtsanspruch auf Bewilligungserteilung (Urteil 2C_72/2009 vom 5. März 2009 E. 1.3). Der Beschwerdeführer macht denn auch nicht konkret geltend, sein verfassungsmässiger Anspruch auf Schutz des Familienlebens wäre verletzt; der vom Beschwerdeführer angerufene Art. 29 Abs. 2 BV vermag hier keinen Bewilligungsanspruch zu begründen. Im Umfang des Eventualantrags kann daher auf die eingereichte Beschwerde nicht eingetreten werden.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Gemäss Art. 7 Abs. 1 ANAG hat der ausländische Ehegatte eines Schweizer Bürgers Anspruch auf Erteilung und Verlängerung der Aufenthaltsbewilligung; des Weiteren hat er nach einem ordnungsgemässen und ununterbrochenen Aufenthalt von fünf Jahren Anspruch auf die Niederlassungsbewilligung. Kein Anspruch besteht, wenn die Ehe eingegangen worden ist, um die Vorschriften über Aufenthalt und Niederlassung von Ausländern und namentlich jene über die Begrenzung der Zahl der Ausländer zu umgehen ( Art. 7 Abs. 2 ANAG ). Erfasst wird davon die sogenannte Scheinehe bzw. Ausländerrechtsehe, bei der die Ehegatten von vornherein keine echte eheliche Gemeinschaft beabsichtigen ( BGE 128 II 145 E. 2.1 S. 151 mit Hinweisen). Der Anspruch entfällt darüber hinaus auch bei rechtsmissbräuchlicher Berufung auf eine nur noch formell und ohne Aussicht auf Aufnahme bzw. Wiederaufnahme einer ehelichen Gemeinschaft bestehende Ehe ( BGE 128 II 145 E. 2.2 S. 151 mit Hinweisen). Als eigenes und selbständiges Niederlassungsrecht erlischt die einmal erteilte Niederlassungsbewilligung nicht mit der Auflösung der Ehe. Sie kann aber widerrufen werden.</w:t>
      </w:r>
    </w:p>
    <w:p>
      <w:r>
        <w:rPr>
          <w:b/>
        </w:rPr>
        <w:t>E. 2.2</w:t>
      </w:r>
    </w:p>
    <w:p>
      <w:r>
        <w:t>Nach Art. 9 Abs. 4 lit. a ANAG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Das Erschleichen einer Niederlassungsbewilligung durch falsche Angaben oder durch wissentliches Verschweigen von Tatsachen kann schon darin liegen, dass die Angaben, auf welche sich die Behörden bei der seinerzeitigen Bewilligungserteilung gestützt hatten oder die bei späteren Verlängerungen der Aufenthaltsbewilligung oder bei der Erteilung der Niederlassungsbewilligung mangels anderer Angaben immer noch als massgebend betrachtet werden konnten, falsch oder unvollständig waren (Urteile 2C_33/2008 vom 7. Mai 2008 E. 3.2; 2A.33/2007 vom 9. Juli 2007 E. 4.1; 2A.129/2006 vom 27. Juni 2006 E.2.2; 2A.436/2003 vom 6. Januar 2004 E. 3.1; BGE 112 Ib 473 E. 3b S. 475 f.; je mit Hinweisen).</w:t>
      </w:r>
    </w:p>
    <w:p>
      <w:r>
        <w:t>Bei eigentlichen Machenschaften wie dem Eingehen einer Scheinehe bedarf es keiner ausdrücklichen Frage der Ausländerbehörde. Die Bewilligung gilt ohne weiteres als erschlichen (vgl. Urteil 2A.595/2006 vom 6. Februar 2007 E. 4.4 und 4.5; ANDREAS ZÜND, in: Uebersax/Münch/Geiser/Arnold, Ausländerrecht, 2002, Rz. 6.16).</w:t>
      </w:r>
    </w:p>
    <w:p>
      <w:r>
        <w:rPr>
          <w:b/>
        </w:rPr>
        <w:t>E. 2.3</w:t>
      </w:r>
    </w:p>
    <w:p>
      <w:r>
        <w:t>Ob eine Scheinehe geschlossen wurde,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(vgl. E. 1.4 hiervor). Frei zu prüfen ist die Rechtsfrage, ob die festgestellten Tatsachen (Indizien) darauf schliessen lassen, die Berufung auf die Ehe bezwecke die Umgehung fremdenpolizeilicher Vorschriften oder sei rechtsmissbräuchlich ( BGE 128 II 145 E. 2.3 S. 152 mit Hinweisen).</w:t>
      </w:r>
    </w:p>
    <w:p>
      <w:r>
        <w:t>Erforderlich sind konkrete Hinweise darauf, dass die Ehegatten nicht eine eigentliche Lebensgemeinschaft führen wollen, sondern die Ehe nur aus fremdenpolizeilichen Überlegungen eingegangen wurde (vgl. BGE 127 II 49 E. 5a S. 57). Diesbezügliche Indizien lassen sich u.a.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 BGE 122 II 289 E. 2b S. 295 mit Hinweisen).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 BGE 127 II 49 E. 4a S. 55 mit Hinweisen; Urteil 2C_446/2009 vom 23. November 2009 E. 2.2).</w:t>
      </w:r>
    </w:p>
    <w:p>
      <w:r>
        <w:rPr>
          <w:b/>
        </w:rPr>
        <w:t>E. 2.4</w:t>
      </w:r>
    </w:p>
    <w:p>
      <w:r>
        <w:t>Die Vorinstanz hat diese Rechtsprechung nicht verkannt und sie im konkreten Fall korrekt angewandt: Der Beschwerdeführer erhielt die Niederlassungsbewilligung wegen der fünf Jahre dauernden Ehe mit der vier Jahre älteren, eingebürgerten zweiten Ehefrau. Die erste Ehe war am 21. November 1996 geschieden worden; bereits am 11. Dezember 2006 reiste der Beschwerdeführer als Asylbewerber in die Schweiz ein, wo er nach ungefähr acht Monaten, nur vier Tage bevor er die Schweiz nach abgelehntem Asylgesuch wieder hätte verlassen müssen, erneut heiratete. Die Eheleute bewohnten gemäss den verbindlichen Feststellungen der Vorinstanz während ihrer 6¾ Jahre dauernden Ehe nur einmal und während kurzer Zeit gegen das Ende ihrer Ehe eine 2½ -Zimmer-Wohnung. Während der übrigen Zeit teilten sie sich ein Zimmer bzw. mehrere 1-Zimmer-Wohnungen. Die Ehefrau wohnte während eines grossen Teils der Zeit auswärts, wo sie ihrem Beruf als erotische Masseuse nachging. Die Eheleute wussten wenig über ihre gegenseitigen Verwandten und Familien und verbrachten nie gemeinsame Ferien. Gemäss der Vorinstanz handelt es sich um eine "Ehe mit wenig Gemeinsamkeiten, wenig Kommunikation und minimaler Anteilnahme am Alltag des Partners und seiner Angehörigen".</w:t>
      </w:r>
    </w:p>
    <w:p>
      <w:r>
        <w:t>Die Vorinstanz durfte insbesondere auch aus dem Umstand, dass der Beschwerdeführer mehrere Wochen im Jahr allein bei seiner früheren Familie verbrachte, den Schluss ziehen, dass neben der Beziehung zu seinen Kindern auch diejenige zu seiner heutigen (und ersten) Ehefrau aufrecht erhalten wurde. Die Ehefrau kehrte denn auch nach der Scheidung nicht zu ihrer Familie zurück, sondern behielt die Betreuung der Kinder am Wohnsitz der Eltern des von ihr geschiedenen Beschwerdeführers im Kosovo bei.</w:t>
      </w:r>
    </w:p>
    <w:p>
      <w:r>
        <w:t>Nachdem der Beschwerdeführer die Niederlassungsbewilligung erhalten hatte, wurde die zweite Ehe - etwa eindreiviertel Jahre später - geschieden. Eineinhalb Jahre nach der Scheidung heiratete der Beschwerdeführer seine erste Ehefrau, und weitere zwei Monate später stellte er das Gesuch um Nachzug seiner Familie in die Schweiz.</w:t>
      </w:r>
    </w:p>
    <w:p>
      <w:r>
        <w:rPr>
          <w:b/>
        </w:rPr>
        <w:t>E. 2.5</w:t>
      </w:r>
    </w:p>
    <w:p>
      <w:r>
        <w:t>Die in der Beschwerdeschrift zahlreich erhobenen Sachverhaltsrügen bezüglich der ehelichen Beziehungen erscheinen nicht stichhaltig. Es wird nicht substantiiert dargetan, inwiefern die Sachverhaltsdarstellung im angefochtenen Urteil offensichtlich falsch oder unrichtig sein sollte. Die Vorinstanz hat den entscheidrelevanten Sachverhalt nicht wie behauptet "voreingenommen" festgestellt.</w:t>
      </w:r>
    </w:p>
    <w:p>
      <w:r>
        <w:t>Vielmehr durfte die Vorinstanz annehmen, die oben in E. 2.4 dargestellten Umstände belegten, dass der Beschwerdeführer rechtsmissbräuchlich an der zweiten Ehe festgehalten hat, um die Niederlassungsbewilligung zu erhalten. Wird eine solche dergestalt erschlichen, so kann sie in der Folge auch widerrufen werden. Der angefochtene Entscheid verletzt somit Bundesrecht nicht.</w:t>
      </w:r>
    </w:p>
    <w:p>
      <w:r>
        <w:rPr>
          <w:b/>
        </w:rPr>
        <w:t>E. 2.6</w:t>
      </w:r>
    </w:p>
    <w:p>
      <w:r>
        <w:t>Nicht durchzudringen vermag auch die Rüge, die Vorinstanzen hätten den Anspruch auf rechtliches Gehör verletzt, indem sie die von den Beschwerdeführern beantragten Einvernahmen von Personen aus deren Bekanntenkreis bzw. die nochmalige Einvernahme der ehemaligen (schweizerischen) Ehefrau in Anwesenheit des Beschwerdeführers ablehnten. Zwar umfasst der in Art. 29 Abs. 2 BV gewährleistete Anspruch auf rechtliches Gehör u.a. auch das Recht der Betroffenen, mit erheblichen Beweisanträgen gehört zu werden ( BGE 124 I 49 E. 3a S. 51 und 241 E. 2 S. 242; je mit Hinweisen).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131 I 153 E. 3 S. 157; 130 II 425 E. 2.1 S. 428 f.; je mit Hinweisen). Inwiefern die Aussagen von aussenstehenden Drittpersonen geeignet wären, im vorliegenden Fall einen besseren Eindruck von den tatsächlichen Absichten des Beschwerdeführers bzw. von inneren Tatsachen wie etwa dem Ehewillen zu vermitteln, ist nicht ersichtlich. Dies umso weniger, als die Personen, welche um Abgabe derartiger Auskünfte gebeten werden, den ersuchenden Personen gegenüber in aller Regel wohlwollend eingestellt sind und beabsichtigen, diesen zu helfen. Dass das Verwaltungsgericht in dieser Situation auf die beantragten Einvernahmen verzichtet hat, ist daher nachvollziehbar und stellt jedenfalls keine Verletzung von Art. 29 Abs. 2 BV dar.</w:t>
      </w:r>
    </w:p>
    <w:p>
      <w:r>
        <w:t>Zudem steht der Behörde - wie selbst der Beschwerdeführer einräumt - bei der Beurteilung der Frage, ob hinreichende Gründe bestehen, um eine Partei ausnahmsweise von der Anhörung der Auskunftsperson auszuschliessen, ein Ermessensspielraum zu ( BGE 130 II 169 E. 2.3.5 S. 174). Inwiefern hier ein Ermessensmissbrauch vorliegen soll, ist nicht ersichtlich.</w:t>
      </w:r>
    </w:p>
    <w:p>
      <w:r>
        <w:rPr>
          <w:b/>
        </w:rPr>
        <w:t>E. 2.7</w:t>
      </w:r>
    </w:p>
    <w:p>
      <w:r>
        <w:t>Der Widerruf der Niederlassungsbewilligung ist unter den gegebenen Umständen auch verhältnismässig. Zwar scheint der Beschwerdeführer zumindest beruflich integriert zu sein. Von einer eigentlichen Verwurzelung in der Schweiz kann jedoch nicht gesprochen werden. Der Beschwerdeführer lebte bis zum 27. Altersjahr in seiner Heimat und hat damit die prägenden Lebensjahre im Kosovo verbracht. Es darf davon ausgegangen werden, dass er mit den kulturellen und gesellschaftlichen Gepflogenheiten seines Heimatlandes nach wie vor bestens vertraut ist. Ins Gewicht fällt zudem, dass seine heutige Ehefrau und die beiden Kinder sowie seine weiteren Verwandten dort leben; daran vermag auch der Einwand nichts zu ändern, dass offenbar die Ehefrau des Beschwerdeführers im Kosovo in der Zwischenzeit die Scheidung verlangt. Dem Beschwerdeführer ist somit zuzumuten, in seine Heimat zurückzukehren.</w:t>
      </w:r>
    </w:p>
    <w:p>
      <w:r>
        <w:rPr>
          <w:b/>
        </w:rPr>
        <w:t>E. 3.1</w:t>
      </w:r>
    </w:p>
    <w:p>
      <w:r>
        <w:t>Der verfügte Widerruf der Niederlassungsbewilligung erweist sich als bundesrechtskonform. Die Beschwerde ist somit als unbegründet abzuweisen, soweit darauf eingetreten werden kann.</w:t>
      </w:r>
    </w:p>
    <w:p>
      <w:r>
        <w:rPr>
          <w:b/>
        </w:rPr>
        <w:t>E. 3.2</w:t>
      </w:r>
    </w:p>
    <w:p>
      <w:r>
        <w:t>Bei diesem Verfahrensausgang wird der Beschwerdeführer kostenpflichtig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