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2C_30/2008 vom 25. September 2009</w:t>
      </w:r>
    </w:p>
    <w:p>
      <w:r>
        <w:t>Bundesgericht, 2009-09-25, DE</w:t>
      </w:r>
    </w:p>
    <w:p>
      <w:r>
        <w:rPr>
          <w:b/>
        </w:rPr>
        <w:t xml:space="preserve">Quelle: </w:t>
      </w:r>
      <w:r>
        <w:t>https://mcp.opencaselaw.ch/entscheid/bger_2C_30_2008</w:t>
      </w:r>
    </w:p>
    <w:p>
      <w:r>
        <w:t>FR: TF 2C_30/2008 du 25 septembre 2009</w:t>
      </w:r>
    </w:p>
    <w:p>
      <w:r>
        <w:t>IT: TF 2C_30/2008 del 25 settembre 2009</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w:t>
      </w:r>
    </w:p>
    <w:p>
      <w:r>
        <w:rPr>
          <w:b/>
        </w:rPr>
        <w:t>E. 1.2</w:t>
      </w:r>
    </w:p>
    <w:p>
      <w:r>
        <w:t>Nach Art. 79 Abs. 2 der Verfassung des Kantons Zürich vom 27. Februar 2005 können kantonale Erlasse mit Ausnahme der Verfassung und der Gesetze bei einem vom Gesetz bezeichneten obersten Gericht angefochten werden, wenn geltend gemacht wird, dass sie gegen übergeordnetes Recht verstossen. Angefochten ist vorliegend eine Gesetzesbestimmung, gegen deren Erlass kein kantonales Rechtsmittel offen steht. Dagegen kann somit grundsätzlich beim Bundesgericht Beschwerde in öffentlich-rechtlichen Angelegenheiten erhoben werden.</w:t>
      </w:r>
    </w:p>
    <w:p>
      <w:r>
        <w:rPr>
          <w:b/>
        </w:rPr>
        <w:t>E. 1.3</w:t>
      </w:r>
    </w:p>
    <w:p>
      <w:r>
        <w:t>Nach Art. 101 BGG ist die Beschwerde gegen einen Erlass innert 30 Tagen nach der nach dem kantonalen Recht massgebenden Veröffentlichung des Erlasses beim Bundesgericht einzureichen. Das Ergebnis der Volksabstimmung über die angefochtene Gesetzesnovelle vom 25. November 2007 wurde am 7. Dezember 2007 im Amtsblatt des Kantons Zürich veröffentlicht. Die vorliegende Beschwerde wurde der Post am 7. Januar 2008 aufgegeben. Unter Berücksichtigung des Fristenstillstandes nach Art. 46 Abs. 1 lit. c BGG erging sie mithin fristgerecht.</w:t>
      </w:r>
    </w:p>
    <w:p>
      <w:r>
        <w:rPr>
          <w:b/>
        </w:rPr>
        <w:t>E. 1.4</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 Zur Anfechtung eines kantonalen Steuererlasses sind grundsätzlich die im betroffenen Kanton Steuerpflichtigen legitimiert, d.h. diejenigen Personen, die dort ihren Wohnsitz haben ( BGE 130 I 174 E. 1.2 S. 176 f.). Es kann hier offen bleiben, wieweit die als AVLOCA-Praxis bekannte Rechtsprechung des Bundesgerichts betreffend Legitimation zur Anfechtung eines Erlasses wegen rechtsungleicher Begünstigung mit der früheren staatsrechtlichen Beschwerde (dazu BGE 109 Ia 252 ; 131 I 198 E. 2.6 S. 203; vgl. auch BGE 133 I 206 E. 2.2-2.4 S. 210 f.) auch auf die Beschwerde in öffentlich-rechtlichen Angelegenheiten zugeschnitten ist, woran immerhin angesichts der unterschiedlichen Voraussetzungen gewisse Zweifel bestehen. So oder so bildet ein Steuertarif ein unteilbares Ganzes, der als solcher den verfassungsrechtlichen Anforderungen genügen muss. Jeder Steuerpflichtige muss die Missachtung der verfassungsrechtlichen Grundsätze im Verfahren der abstrakten Normenkontrolle rügen können, selbst wenn sich ein andern Steuerpflichtigen gewährter Vorteil nicht unmittelbar zu seinem Nachteil auswirkt (vgl. BGE 133 I 206 E. 2.1-2.3 S. 210 f.). Nicht zulässig sind hingegen Beschwerden, die im Interesse der Allgemeinheit oder der richtigen Gesetzesanwendung geführt werden ( BGE 125 I 7 E. 3c S. 9; 123 II 376 E. 2 S. 378 f.; 121 II 39 E. 2c/aa S. 44; BERNHARD WALDMANN, in: Basler Kommentar zum Bundesgerichtsgesetz, Basel 2008, Art. 89 N 15 ).</w:t>
      </w:r>
    </w:p>
    <w:p>
      <w:r>
        <w:rPr>
          <w:b/>
        </w:rPr>
        <w:t>E. 2.2</w:t>
      </w:r>
    </w:p>
    <w:p>
      <w:r>
        <w:t>Die Beschwerdeführerin hat ihren Wohnsitz seit Jahren im Kanton Zürich und ist dort zusammen mit ihrem Ehemann steuerpflichtig. Damit untersteht sie dem zürcherischen Steuertarif und ist von diesem als unteilbares Ganzes betroffen. Die hier zu entscheidende Streitsache des anwendbaren Steuersatzes bzw. der Rechtmässigkeit desselben stellt eine Tariffrage dar. Überdies ist die Beschwerdeführerin als Anwältin unternehmerisch tätig, ohne vom angefochtenen Teilsatzverfahren profitieren zu können. Sie ist zudem Eigentümerin von Aktien mehrerer Gesellschaften, worunter solchen, die über andere Aktionäre verfügen, welche Aktienpakete von mindestens 10 % halten. Selbst wenn davon ausgegangen würde, dass nur beschwerdeberechtigt ist, wer wenigstens virtuell Aktionär sein kann, trifft dies somit auf die Beschwerdeführerin zu. Zumindest die virtuelle Betroffenheit kann der Beschwerdeführerin daher nicht abgesprochen werden, weshalb sie zur Beschwerde legitimiert ist.</w:t>
      </w:r>
    </w:p>
    <w:p>
      <w:r>
        <w:rPr>
          <w:b/>
        </w:rPr>
        <w:t>E. 3.1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129 II 249 E. 5.4 S. 263, mit Hinweisen; YVO HANGARTNER, in: Ehrenzeller/Mastronardi/ Schweizer/Vallender, Die schweizerische Bundesverfassung, St. Galler Kommentar, 2. Aufl., Zürich/Basel/Genf 2008, Bd. 2,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 Im Rahmen einer abstrakten Normenkontrolle ist dafür entscheidend, ob ein genügendes allgemeines Interesse an der Feststellung einer allfälligen Verfassungswidrigkeit besteht.</w:t>
      </w:r>
    </w:p>
    <w:p>
      <w:r>
        <w:rPr>
          <w:b/>
        </w:rPr>
        <w:t>E. 3.2</w:t>
      </w:r>
    </w:p>
    <w:p>
      <w:r>
        <w:t>Im vorliegenden Fall ist eine kantonale Gesetzesbestimmung angefochten. Dafür gilt das Anwendungsgebot von Art. 190 BV grundsätzlich nicht. Auch der Umstand, dass der Bundesgesetzgeber eine Materie für seinen Kompetenzbereich, hier die direkte Bundessteuer, gleich oder ähnlich wie ein Kanton ordnet, schränkt die Befugnis des Bundesgerichts zur Überprüfung eines kantonalen Erlasses nicht ein; dabei ist sogar in Kauf zu nehmen, dass sich bei einer solchen Prüfung allenfalls Zweifel an der Verfassungsmässigkeit eines Bundesgesetzes ergeben können ( BGE 109 Ia 273 E. 2b S. 277 f.). Setzt das kantonale Steuergesetz jedoch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bzw. vom Vorliegen eines entsprechenden allgemeinen Feststellungsinteresses ab, ob sich die Prüfung der Vereinbarkeit mit dem Verfassungsrecht trotz Anwendungsgebots rechtfertigt.</w:t>
      </w:r>
    </w:p>
    <w:p>
      <w:r>
        <w:rPr>
          <w:b/>
        </w:rPr>
        <w:t>E. 3.3</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119 Ia 460 E. 4d S. 473, mit Hinweisen). Das kann aber nicht unbeschränkt gelten, sondern setzt einen engen Zusammenhang vor allem in sachlicher und zeitlicher Hinsicht voraus.</w:t>
      </w:r>
    </w:p>
    <w:p>
      <w:r>
        <w:rPr>
          <w:b/>
        </w:rPr>
        <w:t>E. 3.4</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wie in der angefochtenen zürcherischen Regelung durch eine Reduktion des Steuersatzes oder wie in den neuen, parallel ergangenen Art. 18b und Art. 20 Abs. 1 lit. c und Abs. 1bis DBG durch eine bloss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 URS R. BEHNISCH, in: Ehrenzeller/Mastronardi/ Schweizer/Vallender, a.a.O., N. 28 zu Art. 129; DERS., Steuerwettbewerb trotz seiner Zähmung ein Stein des Anstosses, in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Harmonisierungsrecht auch an anderer Stelle Sondertarife, so etwa in Art. 11 StHG .</w:t>
      </w:r>
    </w:p>
    <w:p>
      <w:r>
        <w:rPr>
          <w:b/>
        </w:rPr>
        <w:t>E. 3.5</w:t>
      </w:r>
    </w:p>
    <w:p>
      <w:r>
        <w:t>Die Beschwerdeführerin räumt in ihrer Replik an das Bundesgericht selbst ein, dass die angefochtene kantonale Gesetzesbestimmung dem revidierten Art. 7 Abs. 1 StHG entspricht und von diesem seit dessen Inkrafttreten am 1. Januar 2009 inhaltlich gedeckt ist. Eine allfällige Verfassungswidrigkeit unterliegt daher seit dem 1. Januar 2009 dem Anwendungsgebot und lässt sich jedenfalls mit Wirkung ab diesem Zeitpunkt vom Bundesgericht nicht mehr korrigieren. Damit wird dem Antrag auf Aufhebung von § 35 Abs. 4 StG die Grundlage entzogen. Selbst im Falle, dass die angefochtene Bestimmung verfassungswidrig sein sollte, wäre es unverhältnismässig und würde es sich nicht rechtfertigen, diese Gesetzesnorm, die erst am 1. Januar 2008 in Kraft getreten ist, aufzuheben, und den Kanton nochmals in ein Gesetzgebungsverfahren zu zwingen, um eine gleich lautende Bestimmung zu erlassen, die nunmehr vom neuen Bundesgesetz gedeckt wäre. Unabhängig davon, ob die angefochtene kantonale Bestimmung und die hier nur vorfrageweise angesprochene neue bundesgesetzliche Norm verfassungskonform sind oder nicht, sind sie jedenfalls seit dem 1. Januar 2009 anwendbar.</w:t>
      </w:r>
    </w:p>
    <w:p>
      <w:r>
        <w:rPr>
          <w:b/>
        </w:rPr>
        <w:t>E. 4.1</w:t>
      </w:r>
    </w:p>
    <w:p>
      <w:r>
        <w:t>Es könnte sich immerhin fragen, ob etwas anderes zu gelten hätte, falls die kantonale Regelung über diejenige des Bundesrechts hinausginge, also insbesondere Erleichterungen gewähren würde, die vom Bundesrecht nicht mehr gedeckt wären, indem sie etwa nicht nur die wirtschaftliche Doppelbelastung beseitigen, sondern weitergehende Steuervorteile bieten würde.</w:t>
      </w:r>
    </w:p>
    <w:p>
      <w:r>
        <w:rPr>
          <w:b/>
        </w:rPr>
        <w:t>E. 4.2</w:t>
      </w:r>
    </w:p>
    <w:p>
      <w:r>
        <w:t>Eine entsprechende taugliche Rüge erhebt die Beschwerdeführerin freilich nicht. Die Behauptung, es sei mit dem Gleichheitsgebot nicht vereinbar, Steueranreize zu schaffen, die eine vom Privatrecht vorgesehene Rechtsform in der Praxis illusorisch machen würde, genügt dafür nicht. Ebenso wenig führen insofern die Erwägungen zum Verhältnis der jeweiligen Belastungen durch die Steuern und die Sozialversicherungen weiter. Ob insofern auf die Beschwerde allenfalls nicht einzutreten wäre, kann jedoch offen bleiben.</w:t>
      </w:r>
    </w:p>
    <w:p>
      <w:r>
        <w:rPr>
          <w:b/>
        </w:rPr>
        <w:t>E. 4.3</w:t>
      </w:r>
    </w:p>
    <w:p>
      <w:r>
        <w:t>Entscheidend ist in diesem Zusammenhang, dass die Frage der Verfassungskonformität der Unternehmenssteuerreform in Fachkreisen schon seit längerem diskutiert wurde (vgl. etwa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in Neue Zürcher Zeitung vom 29. Januar 2008; ETIENNE GRISEL, Rechtsgutachten zu Handen des Eidgenössischen Finanzdepartements vom 29. November 2006; CHRISTIAN KEUSCHNIGG/MARTIN D. DIETZ, Volkswirtschaftliche Auswirkungen der Unternehmenssteuerreform II, Gutachten im Auftrag der Eidgenössischen Steuerverwaltung vom 24. September 2002; RENÉ MATTEOTTI/MICHAEL FELBER, Verfassungsrechtliche Kritik an der Unternehmenssteuerreform II, Jusletter vom 11. Februar 2008; ROBERT WALDBURGER, Die Vorlage verletzt offenkundig die Verfassung, in Tagesanzeiger vom 22. Dezember 2007; ROBERT WALDBURGER/RUEDI 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Zürich 2000,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4.4</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durch den Bundesgesetzgeber abgedeckt. Dabei muss nicht in jedem Kanton aufgrund der konkreten Steuersätze der Nachweis erbracht werden, dass in jeder möglichen Konstellation die Entlastung nicht höher ausfällt als die tatsächliche Doppelbelastung. Es besteht demnach kein genügendes allgemeines Interesse an einer verfassungsrechtlichen Überprüfung des zürcherischen Halbsatzverfahrens im vom Bundesgesetz abgedeckten Rahmen. Nebst dem Bund haben im Übrigen inzwischen mindestens 18 Kantone mehr oder weniger parallel zum Gesetzgebungsverfahren des Bundes analoge Gesetzesrevisionen durchgeführt. Darüber kann sich das Bundesgericht nicht ohne stichhaltigen Grund hinwegsetzen.</w:t>
      </w:r>
    </w:p>
    <w:p>
      <w:r>
        <w:rPr>
          <w:b/>
        </w:rPr>
        <w:t>E. 4.5</w:t>
      </w:r>
    </w:p>
    <w:p>
      <w:r>
        <w:t>Fraglich erscheint allerdings, ob die bundesgesetzliche Regelung auch geeignet ist, die Besteuerung durch den Kanton im Jahre 2008 abzudecken. Die zürcherische Gesetzesnovelle ist bereits am 1. Januar 2008 und damit ein Jahr vor derjenigen des Bundes in Kraft getreten, weshalb dem Anwendungsgebot des Bundesgesetzes gewissermassen eine Art Vorwirkung zugesprochen werden muss, wenn es bereits für das Steuerjahr 2008 Folgen zeitigen soll. Entscheidend ist in diesem Zusammenhang jedoch der zeitliche Ablauf: Entsprechende Abklärungen durch die Bundesverwaltung liefen spätestens seit dem Jahre 2001 (vgl. den bereits erwähnten BERICHT DER EXPERTENKOMMISSION RECHTSFORMNEUTRALE UNTERNEHMENSBESTEUERUNG [ERU], erstattet dem Eidgenössischen Finanzdepartement, Bern 2001). Die eigentliche Gesetzesrevision des Bundes wurde vom Parlament am 23. März 2007 beschlossen, während diejenige des Kantons Zürich vom 9. Juli 2007 datiert, also erst später erging. Der Kanton konnte allerdings seine Volksabstimmung schneller durchführen und die Revision schon auf das Jahr 2008 in Kraft setzen, während dies beim Bund erst ein Jahr später möglich war. Inhaltlich stehen die beiden Gesetzesänderungen in einem engen Zusammenhang. Die kantonale Revision kam eindeutig im Hinblick auf die parallel laufende Änderung der Bundesgesetzgebung zustande und bezweckte eine rasche Umsetzung der im Steuerharmonisierungsgesetz neu eingeführten Entlastungsmöglichkeit. Indem die kantonale Gesetzesnovelle in diesem Sinne das Ergebnis des Gesetzgebungsprozesses des Bundes vorwegnahm, ist sie daher inhaltlich auch dadurch gedeckt, selbst wenn das neue Bundesrecht erst ein Jahr später formell in Kraft trat. Damit besteht auch insofern kein genügendes allgemeines Interesse an einer weitergehenden Überprüfung der Verfassungsmässigkeit der ohnehin anwendbaren gesetzlichen Regelung.</w:t>
      </w:r>
    </w:p>
    <w:p>
      <w:r>
        <w:rPr>
          <w:b/>
        </w:rPr>
        <w:t>E. 4.6</w:t>
      </w:r>
    </w:p>
    <w:p>
      <w:r>
        <w:t>Es könnte sich mithin noch einzig fragen, ob die zürcherische Regelung insoweit überprüfbar wäre, als sie eine Entlastung lediglich für Beteiligungen an Gesellschaften mit Sitz in der Schweiz vorsieht. Eine solche Vorgabe macht das Bundesrecht nicht. Es fehlt dafür jedoch an einer rechtsgenüglichen Rüge, so dass darauf nicht näher einzugehen ist (vgl. E. 1.4).</w:t>
      </w:r>
    </w:p>
    <w:p>
      <w:r>
        <w:rPr>
          <w:b/>
        </w:rPr>
        <w:t>E. 5.1</w:t>
      </w:r>
    </w:p>
    <w:p>
      <w:r>
        <w:t>Demnach ist die Beschwerde abzuweisen, soweit darauf eingetreten werden kann.</w:t>
      </w:r>
    </w:p>
    <w:p>
      <w:r>
        <w:rPr>
          <w:b/>
        </w:rPr>
        <w:t>E. 5.2</w:t>
      </w:r>
    </w:p>
    <w:p>
      <w:r>
        <w:t>Bei diesem Verfahrensausgang wird die unterliegende Beschwerdeführerin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