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2C_309/2012 vom 3. April 2012</w:t>
      </w:r>
    </w:p>
    <w:p>
      <w:r>
        <w:t>Bundesgericht, 2012-04-03, FR</w:t>
      </w:r>
    </w:p>
    <w:p>
      <w:r>
        <w:rPr>
          <w:b/>
        </w:rPr>
        <w:t xml:space="preserve">Quelle: </w:t>
      </w:r>
      <w:r>
        <w:t>https://mcp.opencaselaw.ch/entscheid/bger_2C_309_2012</w:t>
      </w:r>
    </w:p>
    <w:p>
      <w:r>
        <w:t>FR: TF 2C_309/2012 du 3 avril 2012</w:t>
      </w:r>
    </w:p>
    <w:p>
      <w:r>
        <w:t>IT: TF 2C_309/2012 del 3 aprile 2012</w:t>
      </w:r>
    </w:p>
    <w:p>
      <w:pPr>
        <w:pStyle w:val="Heading2"/>
      </w:pPr>
      <w:r>
        <w:t>Erwägungen</w:t>
      </w:r>
    </w:p>
    <w:p>
      <w:r>
        <w:rPr>
          <w:b/>
        </w:rPr>
        <w:t>E. 1</w:t>
      </w:r>
    </w:p>
    <w:p>
      <w:r>
        <w:t>Par décision du 29 février 2012, la juge instructrice du Tribunal cantonal du canton de Vaud a accordé l'assistance judiciaire à X.________ dans la procédure de recours que celle-ci a déposé contre la décision de la Municipalité de Chevilly du 6 décembre 2011 en matière de contrôle des habitants, mais lui a refusé la désignation d'un défenseur d'office en raison de la simplicité de la procédure notamment en ce qui concernait l'administration des preuves.</w:t>
      </w:r>
    </w:p>
    <w:p>
      <w:r>
        <w:rPr>
          <w:b/>
        </w:rPr>
        <w:t>E. 2</w:t>
      </w:r>
    </w:p>
    <w:p>
      <w:r>
        <w:t>Par mémoire du 30 mars 2012, X.________ demande au Tribunal fédéral d'annuler la décision du 29 février 2012 et de lui accorder l'assistance judiciaire en ce sens qu'elle est exonérée des frais de justice et qu'un défenseur d'office lui soit désigné. Elle sollicite l'octroi de l'effet suspensif.</w:t>
      </w:r>
    </w:p>
    <w:p>
      <w:r>
        <w:rPr>
          <w:b/>
        </w:rPr>
        <w:t>E. 3</w:t>
      </w:r>
    </w:p>
    <w:p>
      <w:r>
        <w:t>Le refus de l'assistance juridique en matière de contrôle des habitants est une décision incidente qui cause en principe un dommage irréparable ( art. 93 al. 1 let. a LTF ), de sorte que le recours en matière de droit public (arrêt 2C_599/2011 du 13 décembre 2011, consid. 1.3) est immédiatement ouvert (arrêt 2D_68 /2009 du 26 janvier 2010, consid. 1.2.1; ATF 129 I 129 consid. 1.1 p. 131).</w:t>
      </w:r>
    </w:p>
    <w:p>
      <w:r>
        <w:rPr>
          <w:b/>
        </w:rPr>
        <w:t>E. 4</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w:t>
      </w:r>
    </w:p>
    <w:p>
      <w:r>
        <w:t>En l'espèce, la recourante ne soulève pas le grief d'application arbitraire du droit cantonal ni d'autres griefs de nature constitutionnelle à l'encontre de la motivation de la décision refusant de lui désigner un défenseur d'office en application du droit cantonal de procédure. Ne répondant pas aux exigences de motivation de l' art. 106 al. 2 LTF , le recours est irrecevable sous cet angle.</w:t>
      </w:r>
    </w:p>
    <w:p>
      <w:r>
        <w:rPr>
          <w:b/>
        </w:rPr>
        <w:t>E. 5</w:t>
      </w:r>
    </w:p>
    <w:p>
      <w:r>
        <w:t>Le recours est ainsi manifestement irrecevable ( art. 108 al. 1 let. b LTF ) et doit être traité selon la procédure simplifiée de l' art. 108 LTF , sans qu'il y ait lieu d'ordonner un échange d'écritures. La requête d'effet suspensif est dès lors sans objet. Le recours se révélant d'emblée dénué de chances de succès, la demande d'assistance judiciaire, dans la mesure où elle vaut aussi pour la présente procédure, est rejetée (cf. art. 64 LTF ). Succombant, la recourante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