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2C_308/2017 vom 21. Februar 2018</w:t>
      </w:r>
    </w:p>
    <w:p>
      <w:r>
        <w:t>Bundesgericht, 2018-02-21, FR</w:t>
      </w:r>
    </w:p>
    <w:p>
      <w:r>
        <w:rPr>
          <w:b/>
        </w:rPr>
        <w:t xml:space="preserve">Quelle: </w:t>
      </w:r>
      <w:r>
        <w:t>https://mcp.opencaselaw.ch/entscheid/bger_2C_308_2017</w:t>
      </w:r>
    </w:p>
    <w:p>
      <w:r>
        <w:t>FR: TF 2C_308/2017 du 21 février 2018</w:t>
      </w:r>
    </w:p>
    <w:p>
      <w:r>
        <w:t>IT: TF 2C_308/2017 del 21 febbraio 2018</w:t>
      </w:r>
    </w:p>
    <w:p>
      <w:pPr>
        <w:pStyle w:val="Heading2"/>
      </w:pPr>
      <w:r>
        <w:t>Erwägungen</w:t>
      </w:r>
    </w:p>
    <w:p>
      <w:r>
        <w:rPr>
          <w:b/>
        </w:rPr>
        <w:t>E. 1.1</w:t>
      </w:r>
    </w:p>
    <w:p>
      <w:r>
        <w:t>D'après l' art. 83 let . c ch. 2 LTF, le recours en matière de droit public est irrecevable contre les décisions relatives à une autorisation de séjour à laquelle ni le droit fédéral ni le droit international ne donnent droit. Il est recevable contre les décisions révoquant, comme en l'espèce, une autorisation d'établissement, parce qu'il existe en principe un droit au maintien de cette autorisation (cf. ATF 135 II 1 consid. 1.2.1 p. 4). En sa qualité de ressortissant espagnol, le recourant peut en outre, à première vue (cf.</w:t>
      </w:r>
    </w:p>
    <w:p>
      <w:r>
        <w:t>infra consid. 5.1), se prévaloir de l'Accord du 21 juin 1999 entre la Confédération suisse, d'une part, et la Communauté européenne et ses Etats membres, d'autre part, sur la libre circulation des personnes (ALCP; RS 0.142.112.681; cf. ATF 136 II 177 consid. 1.1 p. 179), qui confère en principe aux ressortissants des Etats contractants le droit de séjourner et d'accéder à la vie économique sur le territoire suisse conformément aux dispositions de l'annexe I ALCP (cf. art. 1 let. a et 4 ALCP ). Il s'ensuit que le présent recours ne tombe pas sous le coup de l'exception prévue à l' art. 83 let . c ch. 2 LTF, ni d'aucune autre clause d'irrecevabilité figurant à l' art. 83 LTF . Toutefois, la conclusion du recourant tendant à sa mise au bénéfice d'une autorisation de demeurer en Suisse pour motifs de santé est irrecevable, dès lors que cette demande de dérogation n'a pas été soumise à l'autorité précédente et qu'elle tend à élargir l'objet du litige (cf. art. 99 al. 2 LTF ). Celui-ci est en effet limité à la question de savoir si la révocation de l'autorisation d'établissement du recourant est ou non conforme au droit.</w:t>
      </w:r>
    </w:p>
    <w:p>
      <w:r>
        <w:rPr>
          <w:b/>
        </w:rPr>
        <w:t>E. 1.2</w:t>
      </w:r>
    </w:p>
    <w:p>
      <w:r>
        <w:t>Il résulte du dossier que les droits civils du recourant n'ont pas été limités par la curatelle instituée en sa faveur. Le recourant peut donc ester justice (cf. art. 14 PCF [RS 273], applicable par le renvoi de l' art. 71 LTF ), à savoir mener lui-même le procès ou désigner, ainsi qu'il l'a fait, un mandataire qualifié (cf. arrêt 1C_359/2013 du 14 novembre 2013 consid. 2.1).</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1.3</w:t>
      </w:r>
    </w:p>
    <w:p>
      <w:r>
        <w:t>Aucun fait nouveau ni preuve nouvelle ne peut être présenté à moins de résulter de la décision de l'autorité précédente ( art. 99 al. 1 LTF ). En l'occurrence, l'attestation et les certificats médicaux établis les 13 et 14 mars 2017 qui accompagnent le recours sont postérieurs à l'arrêt entrepris et ne peuvent donc pas être pris en considération. Quant à la décision de la Justice de paix du district de la Riviera - Pays-d'Enhaut du 2 mars 2016, qui n'apparaît pas au dossier cantonal, on ne voit pas ce qui empêchait le recourant de la produire devant l'instance précédente et il n'y a pas lieu d'en tenir compte.</w:t>
      </w:r>
    </w:p>
    <w:p>
      <w:r>
        <w:rPr>
          <w:b/>
        </w:rPr>
        <w:t>E. 2.1</w:t>
      </w:r>
    </w:p>
    <w:p>
      <w:r>
        <w:t>Le Tribunal fédéral applique le droit d'office ( art. 106 al. 1 LTF ). Il statue sur la base des faits établis par l'autorité précédente (cf. art. 105 al. 1 LTF ), sous réserve des cas prévus à l' art. 105 al. 2 LTF (cf. ATF 142 I 155 consid. 4.4.3 p. 156 s.). Le recours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w:t>
      </w:r>
    </w:p>
    <w:p>
      <w:r>
        <w:rPr>
          <w:b/>
        </w:rPr>
        <w:t>E. 2.2</w:t>
      </w:r>
    </w:p>
    <w:p>
      <w:r>
        <w:t>En l'occurrence, en tant que le recourant se plaint d'un établissement arbitraire des faits en lien avec les relations qu'il entretient avec son fils, son grief n'a pas besoin d'être examiné compte tenu de l'issue du litige (cf.</w:t>
      </w:r>
    </w:p>
    <w:p>
      <w:r>
        <w:t>infra consid. 5).</w:t>
      </w:r>
    </w:p>
    <w:p>
      <w:r>
        <w:rPr>
          <w:b/>
        </w:rPr>
        <w:t>E. 3</w:t>
      </w:r>
    </w:p>
    <w:p>
      <w:r>
        <w:t>Le litige porte sur le point de savoir si, compte tenu des condamnations pénales dont le recourant a fait l'objet, la révocation de son autorisation d'établissement est conforme au droit.</w:t>
      </w:r>
    </w:p>
    <w:p>
      <w:r>
        <w:rPr>
          <w:b/>
        </w:rPr>
        <w:t>E. 4.1</w:t>
      </w:r>
    </w:p>
    <w:p>
      <w:r>
        <w:t>A teneur de l'art. 63 al. 2 LEtr, l'autorisation d'établissement d'un étranger qui séjourne en Suisse légalement et sans interruption depuis plus de quinze ans - comme c'est le cas du recourant - ne peut être révoquée que pour les motifs mentionnés à l'art. 63 al. 1 let. b LEtr et à l'art. 62 al. 1 let. b LEtr. 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w:t>
      </w:r>
    </w:p>
    <w:p>
      <w:r>
        <w:rPr>
          <w:b/>
        </w:rPr>
        <w:t>E. 4.2</w:t>
      </w:r>
    </w:p>
    <w:p>
      <w:r>
        <w:t>Les motifs de révocation des art. 62 al. 1 let. b et 63 al. 1 let. b LEtr sont applicables à la révocation de l'autorisation d'établissement des ressortissants des Etats membres de l'Union européenne, car l'ALCP ne régit pas ce type d'autorisation (cf. art. 2 al. 2 LEtr; art. 5 et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cf. arrêt 2C_116/2017 du 3 octobre 2017 consid. 3.4.1). Toutefois, dès lors qu'elle constitue une limite à la libre circulation des personnes, la révocation de l'autorisation doit en outre être conforme aux exigences de l' art. 5 par. 1 annexe I ALCP , selon lequel les droits octroyés par les dispositions de l'ALCP ne peuvent être limités que par des mesures justifiées par des raisons d'ordre public, de sécurité publique et de santé publique (cf. ATF 139 II 121 consid. 5.3 p. 125 s.; 136 II 5 consid. 3.4 p. 12 s.; arrêt 2C_370/2012 du 29 octobre 2012 consid. 3.1).</w:t>
      </w:r>
    </w:p>
    <w:p>
      <w:r>
        <w:rPr>
          <w:b/>
        </w:rPr>
        <w:t>E. 4.3</w:t>
      </w:r>
    </w:p>
    <w:p>
      <w:r>
        <w:t>La révocation d'une autorisation, quel que soit son type, doit en outre respecter le principe de proportionnalité (cf. art. 5 al. 2 Cst. ; art. 96 al. 1 LEtr; art. 8 par. 2 CEDH ; cf. ATF 139 I 16 consid. 2.2.1 p. 19; 135 II 377 consid. 4.2 p. 380). Lors de l'examen de la proportionnalité, il y a lieu de prendre en considération la gravité de l'infraction, la culpabilité de l'auteur, le temps écoulé depuis l'infraction, le comportement de l'intéressé pendant cette période, le degré de son intégration, la durée du séjour en Suisse, ainsi que le préjudice que lui et sa famille auraient à subir du fait de la mesure ( ATF 139 I 16 consid. 2.2.1 p. 19 s.; 135 II 377 consid. 4.3 p. 381 s.). La révocation de l'autorisation d'établissement d'un étranger qui - comme le recourant - séjourne depuis longtemps en Suisse doit se faire avec une retenue particulière, mais n'est pas exclue en cas d'infractions graves ou répétées même dans le cas d'un étranger né en Suisse et qui y a passé l'entier de sa vie (cf. arrêt 2C_116/2017 du 3 octobre 2017 consid. 3.2 et les références citées).</w:t>
      </w:r>
    </w:p>
    <w:p>
      <w:r>
        <w:rPr>
          <w:b/>
        </w:rPr>
        <w:t>E. 5</w:t>
      </w:r>
    </w:p>
    <w:p>
      <w:r>
        <w:t>Le recourant ne conteste à juste titre pas que, par ses multiples condamnations, il remplit le motif de révocation de l'art. 63 al. 1 let. b LEtr permettant de révoquer son autorisation d'établissement. Il invoque en revanche une violation de l' art. 5 par. 1 annexe I ALCP et du principe de proportionnalité.</w:t>
      </w:r>
    </w:p>
    <w:p>
      <w:r>
        <w:rPr>
          <w:b/>
        </w:rPr>
        <w:t>E. 5.1</w:t>
      </w:r>
    </w:p>
    <w:p>
      <w:r>
        <w:t>L'examen de la conformité de la révocation de l'autorisation d'établissement du recourant avec l' art. 5 annexe I ALCP présuppose que l'intéressé puisse se prévaloir de l'Accord (cf. ATF 131 II 329 consid. 3.1 p. 335). Pour prétendre à l'application des dispositions de l'ALCP, il faut que le ressortissant étranger dispose d'un droit de séjour fondé sur l'Accord (cf. arrêts 2C_394/2016 du 26 août 2016 consid. 6; 2C_406/2014 du 2 juillet 2015 consid. 3.2).</w:t>
      </w:r>
    </w:p>
    <w:p>
      <w:r>
        <w:t>En l'espèce, les premiers juges n'ont pas précisé d'autre critère de rattachement à l'Accord que la nationalité espagnole du recourant, ce qui ne dit encore rien de l'existence effective d'un droit fondé sur l'ALCP (cf. ATF 131 II 329 consid. 3.1 p. 335). Toutefois, selon les faits de l'arrêt entrepris, le recourant a été actif professionnellement durant plusieurs années, a passagèrement reçu une rente AI, puis a réintégré le monde du travail. Rien n'indique qu'il ne pouvait pas se prévaloir alors du statut de travailleur au sens de l' art. 6 annexe I ALCP (ou d'indépendant au sens de l' art. 12 annexe I ALCP ). Il résulte de l'arrêt attaqué que le recourant ne travaille plus en raison de ses problèmes de santé. En octobre 2012, il a déposé une nouvelle demande de rente AI. On ignore l'état de cette procédure. Sur la base de ces indications, il n'est pas exclu que le recourant dispose d'un droit fondé sur l'ALCP. En effet, en vertu de l' art. 4 par. 1 annexe I ALCP , les ressortissants d'une partie contractante ont le droit de demeurer sur le territoire d'une autre partie contractante après la fin de leur activité économique. Il est précisé à l'art. 2 par. 1 let. b du règlement 1251/70, auquel renvoie l' art. 4 par. 2 annexe I ALCP , qu'a le droit de demeurer sur le territoire d'un Etat membre le travailleur qui, résidant d'une façon continue sur le territoire de cet Etat depuis plus de deux ans, cesse d'y occuper un emploi salarié à la suite d'une incapacité permanente de travail (cf. arrêts 2C_289/2017 du 4 décembre 2017 consid. 4.5.1; 2C_1034/2016 du 13 novembre 2017 consid. 2.2 et 4.2). En l'occurrence, tant qu'une décision en matière d'assurance invalidité n'est pas rendue, on ne peut pas se prononcer sur l'incapacité permanente de travail du recourant (cf. arrêt 2C_587/2013 du 30 octobre 2013 consid. 4.3). Dans l'intervalle, il y a lieu de considérer que le recourant peut se prévaloir d'un droit à demeurer en Suisse fondé sur l'ALCP. La révocation de son autorisation d'établissement n'est donc admissible que si elle remplit les critères de l' art. 5 par. 1 annexe I ALCP , d'une part, et respecte le principe de proportionnalité, d'autre part (cf.</w:t>
      </w:r>
    </w:p>
    <w:p>
      <w:r>
        <w:t>supra consid. 4.3).</w:t>
      </w:r>
    </w:p>
    <w:p>
      <w:r>
        <w:rPr>
          <w:b/>
        </w:rPr>
        <w:t>E. 5.2</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que le ressortissant visé représente une menace actuelle et réelle d'une certaine gravité affectant un intérêt fondamental de la société (cf. ATF 139 II 121 consid. 5.3 p. 125 s.; 131 II 329 consid. 3.2 p. 336).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 ATF 139 II 121 consid. 5.3 p. 125 s.). L'évaluation de ce risque sera d'autant plus rigoureuse que le bien juridique menacé est important (cf. ATF 139 II 121 consid. 5.3 p. 125 s. et les références). A cet égard, le Tribunal fédéral se montre particulièrement rigoureux, en lien avec l' art. 5 annexe I ALCP , en présence d'infractions à la législation fédérale sur les stupéfiants, d'actes de violence criminelle et d'infractions contre l'intégrité sexuelle ( ATF 139 II 121 consid. 5.3 p. 125 s.; 137 II 297 consid. 3.3 p. 303 s.).</w:t>
      </w:r>
    </w:p>
    <w:p>
      <w:r>
        <w:rPr>
          <w:b/>
        </w:rPr>
        <w:t>E. 5.3</w:t>
      </w:r>
    </w:p>
    <w:p>
      <w:r>
        <w:t>En l'occurrence, le recourant a fait l'objet de trente et une condamnations totalisant environ dix ans et demi de peine privative de liberté, avec ou sans sursis, 540 heures de travail d'intérêt général, 110 jours-amende et 5'182 fr. d'amende, sur une période allant de 1979 à 2015. En trente-six ans, il s'est rarement écoulé une année sans que le recourant ne fasse l'objet d'une nouvelle condamnation, pour les infractions les plus variées. Parmi cette longue liste, le recourant a été reconnu coupable d'infractions contre l'intégrité corporelle (lésions corporelles simples à trois reprises, tentative de lésions corporelles simples à une reprise et voies de fait à quatre reprises) et à réitérées reprises en matière de stupéfiants, y compris pour des délits et crimes contre la LStup.</w:t>
      </w:r>
    </w:p>
    <w:p>
      <w:r>
        <w:t>On constate cependant un changement au fil des années dans le parcours délinquant du recourant. Ainsi, les infractions les plus graves et lui ayant valu les peines privatives de liberté les plus importantes ont été commises entre 1981 et 1995 et remontent donc à plus de vingt ans. Depuis la condamnation du 8 mars 1995 à dix mois de privation de liberté, la gravité des actes du recourant a sensiblement diminué. Nombre des infractions commises depuis cette période relève de la petite délinquance (vol d'usage, injure, contraventions à la LStup par exemple), ce qui est reflété par les sanctions beaucoup plus légères qui ont été prononcées. Le recourant a certes encore été condamné le 9 février 2004 à six mois d'emprisonnement notamment pour violation grave des règles de la circulation routière et le 6 mars 2015 à cent jours de peine privative de liberté notamment pour lésions corporelles simples. Ces deux condamnations, dont la première peut être qualifiée d'ancienne et partant être relativisée, ne modifient toutefois pas le constat qu'en l'état, les biens juridiques potentiellement encore menacés par le recourant sont de manière générale moins importants qu'avant 1995 et les atteintes qui pourraient y être portées d'une gravité relative.</w:t>
      </w:r>
    </w:p>
    <w:p>
      <w:r>
        <w:t>La fréquence des condamnations est préoccupante. Le risque de récidive doit toutefois être nuancé. Il ressort en effet de l'arrêt entrepris que la consommation d'alcool et de stupéfiants est à l'origine d'une partie des infractions commises; or, il résulte également de l'arrêt attaqué que le recourant, qui est suivi sur le plan psychiatrique, est abstinent aux stupéfiants et maîtrise sa consommation d'alcool depuis quelques années.</w:t>
      </w:r>
    </w:p>
    <w:p>
      <w:r>
        <w:t>En résumé, les infractions les plus graves sont anciennes et il n'apparaît pas que le recourant présente un risque de commettre à nouveau ce type d'actes. Quant aux infractions d'une gravité moindre dont s'est rendu coupable le recourant ces dernières années, elles ne permettent pas d'établir l'existence d'une menace réelle et d'une certaine gravité pour l'ordre public. Le fait que le recourant maîtrise sa consommation d'alcool et soit abstinent aux stupéfiants réduit par ailleurs le caractère actuel de la menace qu'il pourrait représenter pour l'ordre public.</w:t>
      </w:r>
    </w:p>
    <w:p>
      <w:r>
        <w:t>Le Tribunal cantonal a souligné à juste titre que le recourant avait fait l'objet de plusieurs avertissements de la part des autorités administratives, qui ne l'ont pas dissuadé de récidiver. Cela étant, on ne peut pas retenir en défaveur du recourant, ainsi que l'a fait l'autorité précédente, le fait qu'un dernier avertissement lui a été adressé le 6 mars 2015. En effet, le recourant n'a, selon les constatations de l'arrêt entrepris, pas commis de nouvelles infractions après cette date. Il a certes été condamné le même jour par le Ministère public à une peine privative de liberté de 100 jours, mais les faits remontent au 23 janvier 2015. En prononçant la révocation de l'autorisation d'établissement du recourant à la suite de la condamnation du 6 mars 2015, le Service cantonal a rendu une décision qui fait abstraction de l'ultime chance qu'il avait pourtant décidé d'octroyer au recourant.</w:t>
      </w:r>
    </w:p>
    <w:p>
      <w:r>
        <w:t>Dans l'appréciation du cas d'espèce, le fait que le recourant est âgé de plus de cinquante ans et a toujours vécu en Suisse joue par ailleurs un rôle important. C'est en Suisse que le recourant a suivi sa scolarité, s'est formé et a, malgré ses nombreux démêlés avec la justice, travaillé. Le recourant maîtrise certes, selon les faits de l'arrêt entrepris, la langue de son pays d'origine, mais n'a jamais habité en Espagne et n'y a pas de liens affectifs. Les difficultés de réintégration seraient considérables compte tenu notamment de son âge.</w:t>
      </w:r>
    </w:p>
    <w:p>
      <w:r>
        <w:t>Il découle de ce qui précède que la mesure ordonnée par le Service cantonal et confirmée par le Tribunal cantonal n'est pas compatible avec l' art. 5 par. 1 annexe I ALCP , à défaut de l'existence d'une menace actuelle et réelle d'une gravité suffisante, et ne peut être considérée comme proportionnée au regard de la situation de fait.</w:t>
      </w:r>
    </w:p>
    <w:p>
      <w:r>
        <w:rPr>
          <w:b/>
        </w:rPr>
        <w:t>E. 5.4</w:t>
      </w:r>
    </w:p>
    <w:p>
      <w:r>
        <w:t>Il se justifie donc d'admettre le recours, d'annuler l'arrêt du 8 février 2017 du Tribunal cantonal et de maintenir l'autorisation d'établissement du recourant. Celui-ci doit toutefois être rendu attentif au fait que le maintien de son autorisation implique qu'il ne commette plus de nouvelles infractions. S'il devait récidiver, il s'exposerait à des mesures d'éloignement (cf. arrêts 2C_317/2016 du 14 septembre 2016 consid. 5.3; 2C_223/2015 du 17 septembre 2015 consid. 4.5 et les références citées). Il y a donc lieu de lui adresser un avertissement formel en ce sens (art. 96 al. 2 LEtr).</w:t>
      </w:r>
    </w:p>
    <w:p>
      <w:r>
        <w:rPr>
          <w:b/>
        </w:rPr>
        <w:t>E. 6</w:t>
      </w:r>
    </w:p>
    <w:p>
      <w:r>
        <w:t>Bien qu'il succombe, le Service cantonal, qui ne défend pas d'intérêt patrimonial, ne peut se voir imposer les frais de justice (cf. art. 66 al. 1 et 4 LTF ). Ayant obtenu gain de cause avec l'aide d'un avocat, le recourant a droit à des dépens ( art. 68 al. 1 et 2 LTF ), qu'il convient de mettre à la charge dudit service.</w:t>
      </w:r>
    </w:p>
    <w:p>
      <w:r>
        <w:t>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