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307/2012 vom 26. Juli 2012</w:t>
      </w:r>
    </w:p>
    <w:p>
      <w:r>
        <w:t>Bundesgericht, 2012-07-26, FR</w:t>
      </w:r>
    </w:p>
    <w:p>
      <w:r>
        <w:rPr>
          <w:b/>
        </w:rPr>
        <w:t xml:space="preserve">Quelle: </w:t>
      </w:r>
      <w:r>
        <w:t>https://mcp.opencaselaw.ch/entscheid/bger_2C_307_2012</w:t>
      </w:r>
    </w:p>
    <w:p>
      <w:r>
        <w:t>FR: TF 2C 307/2012 du 26 juillet 2012</w:t>
      </w:r>
    </w:p>
    <w:p>
      <w:r>
        <w:t>IT: TF 2C 307/2012 del 26 luglio 2012</w:t>
      </w:r>
    </w:p>
    <w:p>
      <w:pPr>
        <w:pStyle w:val="Heading2"/>
      </w:pPr>
      <w:r>
        <w:t>Regeste</w:t>
      </w:r>
    </w:p>
    <w:p>
      <w:r>
        <w:t>Autorisation de séjour | Droit de cité et droit des étrangers</w:t>
      </w:r>
    </w:p>
    <w:p>
      <w:pPr>
        <w:pStyle w:val="Heading2"/>
      </w:pPr>
      <w:r>
        <w:t>Erwägungen</w:t>
      </w:r>
    </w:p>
    <w:p>
      <w:r>
        <w:rPr>
          <w:b/>
        </w:rPr>
        <w:t>E. 1</w:t>
      </w:r>
    </w:p>
    <w:p>
      <w:r>
        <w:t>Le litige porte sur le refus d'approuver la prolongation de l'autorisation de séjour du recourant. A juste titre, la décision de renvoi prononcée par les autorités fédérales n'est pas remise en cause dans le recours, car cette question tranchée par le Tribunal administratif fédéral ne peut être revue par le Tribunal fédéral ( art. 83 let . c ch. 4 et 113 LTF).</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du recourant avec une ressortissante suisse ayant cessé, celui-ci ne peut pas déduire un droit à une autorisation de séjour de l'art. 42 al. 1 LEtr, ni de l'art. 49 LEtr. Reste l'art. 50 al. 1 LEtr qui subordonne la prolongation de son autorisation de séjour à certaines conditions dont se prévaut le recourant. Dans la mesure où il reproche à l'autorité fédérale de ne pas avoir retenu de circonstances propres à lui conférer un droit de demeurer en Suisse au sens de cette disposition, le recours est recevable, le point de savoir si les conditions posées par la loi sont effectivement réunies relève en effet de l'examen au fond (cf. arrêts 2C_304/2009 du 9 décembre 2009 consid. 1.1, non publié in ATF 136 II 113 , 2C_460/2009 du 4 novembre 2009, consid. 2.1.1 non publié aux ATF 136 II 1 et 2C_236/2011 du 2 septembre 2011 consid. 1.3).</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du Tribunal administratif fédéral ( art. 86 al. 1 let. a LTF ), est en principe recevable.</w:t>
      </w:r>
    </w:p>
    <w:p>
      <w:r>
        <w:rPr>
          <w:b/>
        </w:rPr>
        <w:t>E. 2</w:t>
      </w:r>
    </w:p>
    <w:p>
      <w:r>
        <w:t>Le Tribunal fédéral fonde son raisonnement juridique sur les faits constatés par l'autorité précédente ( art. 105 al. 1 LTF ), à moins que ces faits n'aient été établis de façon manifestement inexacte - notion qui correspond à celle d'arbitraire ( ATF 137 I 58 consid. 4.1.2 p. 62;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137 II 353 consid. 5.1 p. 356; 136 II 101 consid. 3 p. 104).</w:t>
      </w:r>
    </w:p>
    <w:p>
      <w:r>
        <w:rPr>
          <w:b/>
        </w:rPr>
        <w:t>E. 3.1</w:t>
      </w:r>
    </w:p>
    <w:p>
      <w:r>
        <w:t>Selon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L'existence d'une véritable union conjugale suppose que que la relation entre époux soit effectivement vécue et que ces derniers aient la volonté de la maintenir ( ATF 137 II 345 consid. 3.1.2 p. 347, confirmé récemment in arrêt 2C_821/2011 du 26 juin 2012, consid. 2, destiné à la publication). Pour cela il faut se baser essentiellement sur la durée pendant laquelle le couple a fait ménage commun en Suisse ( ATF 136 II 113 consid. 3.3.5 p. 120).</w:t>
      </w:r>
    </w:p>
    <w:p>
      <w:r>
        <w:rPr>
          <w:b/>
        </w:rPr>
        <w:t>E. 3.2</w:t>
      </w:r>
    </w:p>
    <w:p>
      <w:r>
        <w:t>Il est en l'espèce établi que les époux X.________-A.________ sont arrivés en Suisse le 9 avril 2004 et qu'ils se sont définitivement séparés à la fin du mois d'août 2007. Contrairement à ce que soutient le recourant cette durée de plus de trois ans ne saurait être prise en considération, dès lors que son épouse a quitté une première fois le domicile conjugal du 31 août 2005 au 12 avril 2006 pour aller vivre chez sa mère en France, sans qu'elle puisse se prévaloir de l'exception à l'exigence du ménage commun prévue par l'art. 49 LEtr (cf. arrêt précité 2C_821/2011 du 26 juin 2012, consid. 2). Les arguments que le recourant présente pour justifier le maintien de la communauté conjugale pendant cette période sont dépourvus de tout fondement au vu des déclarations de l'épouse, de sorte que le Tribunal fédéral peut, sur ce point, se rallier aux motifs retenus dans l'arrêt attaqué (cf. consid. 4.2 et 6.1.1). C'est donc sans arbitraire que les premiers juges ont considéré que les conjoints n'avaient vécu ensemble que du 9 avril 2004 au 30 août 2005, puis du 12 avril 2006 à fin août 2007, soit pendant environ deux ans et neuf mois.</w:t>
      </w:r>
    </w:p>
    <w:p>
      <w:r>
        <w:rPr>
          <w:b/>
        </w:rPr>
        <w:t>E. 3.3</w:t>
      </w:r>
    </w:p>
    <w:p>
      <w:r>
        <w:t>Il s'ensuit que l'art. 50 al. 1 let. a LEtr n'est pas applicable, l'union conjugale ayant duré moins de trois ans. Les conditions posées par cette disposition étant cumulatives ( ATF 136 II 113 consid. 3.3.3 p. 119), il n'y pas lieu d'examiner au surplus si l'intégration est réussie. L'argumentation du recourant sur son « intégration parfaite » en Valais n'entre donc pas en considération dans ce contexte qui n'a d'ailleurs pas non plus été examiné par le Tribunal administratif fédéral. Reste à déterminer si le recourant peut se prévaloir de raisons personnelles majeures au sens de l'art. 50 al. 1 let. b LEtr pour obtenir une autorisation de séjour sur la base de cette disposition.</w:t>
      </w:r>
    </w:p>
    <w:p>
      <w:r>
        <w:rPr>
          <w:b/>
        </w:rPr>
        <w:t>E. 4.1</w:t>
      </w:r>
    </w:p>
    <w:p>
      <w:r>
        <w:t>Selon l'art. 50 al. 1 let. b LEtr, après dissolution de la famille, le droit du conjoint et des enfants à l'octroi d'une autorisation de séjour et à la prolongation de sa durée de validité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137 II 345 consid. 3.2.1 p. 348; 137 II 1 consid. 4.1 p. 7). A cet égard, c'est la situation personnelle de l'intéressé qui est décisive et non l'intérêt public que revêt une politique migratoire restrictive. Par conséquent, il y a lieu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137 II 345 consid. 3.2.1 p. 348; 137 II 1 consid. 3 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qui ne sont toutefois pas exhaustives ( ATF 136 II 1 consid. 5.2 p. 3 ss). Parmi celles-ci figurent notamment les violences conjugales (art. 50 al. 2 LEtr), qui doivent revêtir une certaine intensité ( ATF 136 II 1 consid. 5.3 p. 4), la réintégration fortement compromise dans le pays d'origine et le cas dans lequel le conjoint duquel dépend le droit de séjour de l'étranger décède ( ATF 137 II 345 consid. 3.2.2 p. 349; 136 II 1 consid. 5.3 p. 4; jurisprudence confirmée récemment in arrêt 2C_993/2011 du 10 juillet 2012, consid. 3.1, destiné à la publication).</w:t>
      </w:r>
    </w:p>
    <w:p>
      <w:r>
        <w:rPr>
          <w:b/>
        </w:rPr>
        <w:t>E. 4.2</w:t>
      </w:r>
    </w:p>
    <w:p>
      <w:r>
        <w:t>Dans le cas du recourant, au vu des relations qu'il a entretenues avec son épouse, seules les difficultés de réintégration dans son pays d'origine pourraient justifier l'octroi d'une autorisation de séjour pour raisons personnelles majeures. A cet égard, l'intéressé relève qu'il a maintenant plus d'attaches en Suisse que dans son pays d'origine, dès lors que, divorcé de sa première épouse demeurée en Serbie, il ne voit qu'à de rares occasions ses enfants, actuellement âgés de douze et quinze ans, dont la mère a la garde. En revanche, il entretient des contacts réguliers avec ses parents, ses deux frères et leurs enfants, tous domiciliés à Sierre, ainsi qu'avec ses oncles et leurs familles qui se trouvent à Sion. Pour le reste, il se prévaut de son intégration socio-professionnelle, de sa connaissance du français, de son indépendance économique ou de sa participation à une équipe de football, soit d'éléments qui ne sont pas significatifs pour juger si, dans son pays d'origine, sa réintégration serait gravement compromise. Il ne s'agit en effet pas de savoir si la vie du recourant serait plus facile en Suisse (arrêt précité 2C_821/2011, consid. 3.1 i.f., destiné à la publication), mais uniquement de savoir si un retour en Serbie, où il a vécu jusqu'à l'âge de trente et un ans, entraînerait pour lui des difficultés de réadaptation insurmontables. Or, le recourant ne démontre nullement qu'il pourrait se trouver dans une telle situation, mais fait uniquement valoir les avantages qu'il aurait à poursuivre sa vie en Suisse, ce qui ne suffit pas pour admettre l'existence de raisons personnelles majeures.</w:t>
      </w:r>
    </w:p>
    <w:p>
      <w:r>
        <w:rPr>
          <w:b/>
        </w:rPr>
        <w:t>E. 4.3</w:t>
      </w:r>
    </w:p>
    <w:p>
      <w:r>
        <w:t>Au vu des conditions strictes posées par la jurisprudence dans l'application de l'art. 50 al. 1 let. b et al. 2 LEtr, le Tribunal administratif fédéral a retenu à bon droit que le recourant ne pouvait pas se prévaloir de cette disposition pour obtenir la prolongation de son autorisation de séjour.</w:t>
      </w:r>
    </w:p>
    <w:p>
      <w:r>
        <w:rPr>
          <w:b/>
        </w:rPr>
        <w:t>E. 5</w:t>
      </w:r>
    </w:p>
    <w:p>
      <w:r>
        <w:t>Compte tenu de ce qui précède, le recours doit être rejeté, avec suite de frais à la charge du recourant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