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2C_307/2009 vom 25. Januar 2010</w:t>
      </w:r>
    </w:p>
    <w:p>
      <w:r>
        <w:t>Bundesgericht, 2010-01-25, DE</w:t>
      </w:r>
    </w:p>
    <w:p>
      <w:r>
        <w:rPr>
          <w:b/>
        </w:rPr>
        <w:t xml:space="preserve">Quelle: </w:t>
      </w:r>
      <w:r>
        <w:t>https://mcp.opencaselaw.ch/entscheid/bger_2C_307_2009</w:t>
      </w:r>
    </w:p>
    <w:p>
      <w:r>
        <w:t>FR: TF 2C_307/2009 du 25 janvier 2010</w:t>
      </w:r>
    </w:p>
    <w:p>
      <w:r>
        <w:t>IT: TF 2C_307/2009 del 25 gennaio 2010</w:t>
      </w:r>
    </w:p>
    <w:p>
      <w:pPr>
        <w:pStyle w:val="Heading2"/>
      </w:pPr>
      <w:r>
        <w:t>Erwägungen</w:t>
      </w:r>
    </w:p>
    <w:p>
      <w:r>
        <w:rPr>
          <w:b/>
        </w:rPr>
        <w:t>E. 1</w:t>
      </w:r>
    </w:p>
    <w:p>
      <w:r>
        <w:t>Das Bundesgericht prüft seine Zuständigkeit von Amtes wegen ( Art. 29 Abs. 1 BGG ). Es untersucht deshalb grundsätzlich von Amtes wegen, ob und inwiefern auf eine Beschwerde eingetreten werden kann. Immerhin ist die Beschwerde gemäss Art. 42 Abs. 1 und Abs. 2 BGG hinreichend zu begründen. Die Begründungspflicht hat auch eine besondere Bedeutung für die Beschwerdebefugnis. Der Beschwerdeführer hat darzulegen, dass die gesetzlichen Legitimationsvoraussetzungen gegeben sind (vgl. BGE 133 II 249 E. 1.1 S. 251).</w:t>
      </w:r>
    </w:p>
    <w:p>
      <w:r>
        <w:rPr>
          <w:b/>
        </w:rPr>
        <w:t>E. 2</w:t>
      </w:r>
    </w:p>
    <w:p>
      <w:r>
        <w:t>Zur Beschwerde in öffentlich-rechtlichen Angelegenheiten ist berechtigt, wer vor der Vorinstanz am Verfahren teilgenommen hat oder keine Möglichkeit zur Teilnahme erhalten hat ( Art. 89 Abs. 1 lit. a BGG ), durch den angefochtenen Entscheid oder Erlass besonders berührt ist und ein schutzwürdiges Interesse an dessen Aufhebung oder Änderung hat ( Art. 89 lit. b und c BGG ). Dieses Interesse muss nicht nur bei der Beschwerdeeinreichung, sondern auch noch im Zeitpunkt der Urteilsfällung aktuell und praktisch sein ( BGE 123 II 285 E. 4 S. 286 f.). Fällt das schutzwürdige Interesse im Laufe des Verfahrens dahin, wird die Sache als erledigt erklärt; fehlte es schon bei der Beschwerdeeinreichung, ist auf die Eingabe nicht einzutreten ( BGE 118 Ib 1 E. 2 S. 7). Das Bundesgericht verzichtet ausnahmsweise auf das Erfordernis des aktuellen praktischen Interesses, wenn sich die aufgeworfenen Fragen unter gleichen oder ähnlichen Umständen jederzeit wieder stellen können, eine rechtzeitige Überprüfung im Einzelfall kaum je möglich wäre und die Beantwortung wegen deren grundsätzlicher Bedeutung im öffentlichen Interesse liegt ( BGE 135 I 79 E. 1.1 S. 81; Urteil 1C_89/2007 vom 13. Juli 2007 E. 1.3).</w:t>
      </w:r>
    </w:p>
    <w:p>
      <w:r>
        <w:rPr>
          <w:b/>
        </w:rPr>
        <w:t>E. 3.1</w:t>
      </w:r>
    </w:p>
    <w:p>
      <w:r>
        <w:t>Grundlage des angefochtenen Entscheides bildet vorliegend die Veranlagungsverfügung vom 1. August 2005, in welcher die zuständige Veranlagungsbehörde die Steuerfaktoren für das Steuerjahr 2003 betreffend die Staatssteuer festgesetzt hat (§ 148 des kantonalen Gesetzes vom 1. Dezember 1985 über die Staats- und Gemeindesteuern). Die Beschwerdeführerin bestreitet diese Steuerfaktoren nicht, sondern sie wendet sich gegen eine Randbemerkung der Veranlagungsbehörde, worin diese festgehalten hat, sie betrachte die Beteiligungen an den Liegenschaften als Geschäftsvermögen und den daraus erzielten Nettoertrag als Einkommen aus selbständiger Erwerbstätigkeit, weshalb sie eine Meldung an die AHV-Ausgleichskasse veranlassen werde (vorne lit. B).</w:t>
      </w:r>
    </w:p>
    <w:p>
      <w:r>
        <w:rPr>
          <w:b/>
        </w:rPr>
        <w:t>E. 3.2</w:t>
      </w:r>
    </w:p>
    <w:p>
      <w:r>
        <w:t>Darin sieht die Beschwerdeführerin Nachteile "aus steuer- und abgaberechtlicher Sicht" (S. 3 der Beschwerdeschrift). Sie macht aber nicht geltend - und ebenso wenig ist ersichtlich - dass die dem angefochtenen Entscheid zugrunde liegende Steuerveranlagung für das Steuerjahr 2003 anders (d.h. für die Beschwerdeführerin günstiger) ausfallen müsste. Die bereits genannte Veranlagungsverfügung vom 1. August 2005 als Anfechtungsobjekt bildet indessen nicht nur den Ausgangspunkt des Beschwerdeverfahrens, sondern zugleich den Rahmen und die Begrenzung des Streitgegenstandes (vgl. Fritz Gygi, Bundesverwaltungsrechtspflege, 2. Auflage, Bern 1983, S. 45). Die Beschwerdeführerin bewegt sich mit ihrem Feststellungsbegehren - auf welches sie hier ohnehin keinen Anspruch hat (vgl. BGE 126 II 300 E. 2c S. 303 mit Hinweisen) - ausserhalb davon: Wohl trifft zu, dass die Meldung der Veranlagungsbehörde an die AHV-Ausgleichskasse, die Steuerbehörden betrachteten den von der Beschwerdeführerin erzielten Liegenschaftsertrag als Einkommen aus selbständiger Erwerbstätigkeit, dereinst zu abgaberechtlichen Konsequenzen führen könnte, doch wird darüber in den entsprechenden Verfahren von den örtlich, sachlich und funktionell zuständigen Behörden bzw. Gerichten und nicht im vorliegenden Beschwerdeverfahren zu entscheiden sein (zur AHV-Beitragspflicht aus selbständiger Erwerbstätigkeit bei Liegenschaften im Geschäftsvermögen vgl. Art. 9 Abs. 1 des Bundesgesetzes vom 20. Dezember 1946 über die Alters- und Hinterlassenenversicherung [AHVG; SR 831.10] in Verbindung mit Art. 17 der zugehörigen Verordnung vom 31. Oktober 1947 [AHVV; SR 831.101] , sowie Urteil des Eidgenössischen Versicherungsgerichts H 36/03 vom 7. Juni 2004). Das Interesse der Beschwerdeführerin, mit der vorliegenden Eingabe zukünftige steuer- bzw. abgaberechtliche Nachteile von sich abzuwenden, ist weder aktuell noch praktisch im Sinne der Rechtsprechung; und ein Fall, bei dem das Bundesgericht ausnahmsweise auf das Erfordernis des aktuellen praktischen Interesses verzichtet (E. 2), liegt nicht vor.</w:t>
      </w:r>
    </w:p>
    <w:p>
      <w:r>
        <w:rPr>
          <w:b/>
        </w:rPr>
        <w:t>E. 4</w:t>
      </w:r>
    </w:p>
    <w:p>
      <w:r>
        <w:t>Auf die Beschwerde ist nach dem Gesagten nicht einzutreten.</w:t>
      </w:r>
    </w:p>
    <w:p>
      <w:r>
        <w:t>Bei diesem Verfahrensausgang sind die Gerichtskosten der Beschwerdeführerin aufzuerlegen (Art. 65/66 BGG).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