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2C_304/2014 vom 4. April 2014</w:t>
      </w:r>
    </w:p>
    <w:p>
      <w:r>
        <w:t>Bundesgericht, 2014-04-04, FR</w:t>
      </w:r>
    </w:p>
    <w:p>
      <w:r>
        <w:rPr>
          <w:b/>
        </w:rPr>
        <w:t xml:space="preserve">Quelle: </w:t>
      </w:r>
      <w:r>
        <w:t>https://mcp.opencaselaw.ch/entscheid/bger_2C_304_2014</w:t>
      </w:r>
    </w:p>
    <w:p>
      <w:r>
        <w:t>FR: TF 2C_304/2014 du 4 avril 2014</w:t>
      </w:r>
    </w:p>
    <w:p>
      <w:r>
        <w:t>IT: TF 2C_304/2014 del 4 aprile 2014</w:t>
      </w:r>
    </w:p>
    <w:p>
      <w:pPr>
        <w:pStyle w:val="Heading2"/>
      </w:pPr>
      <w:r>
        <w:t>Erwägungen</w:t>
      </w:r>
    </w:p>
    <w:p>
      <w:r>
        <w:rPr>
          <w:b/>
        </w:rPr>
        <w:t>E. 1</w:t>
      </w:r>
    </w:p>
    <w:p>
      <w:r>
        <w:t>Par arrêt du 3 mars 2014, le Tribunal cantonal du canton de Vaud a déclaré irrecevable le recours que A.________ a déposé contre la décision du 31 octobre 2013 du Service de la population du canton de Vaud refusant de renouveler son autorisation de séjour en Suisse. Le recours avait été déposé hors délai de recours.</w:t>
      </w:r>
    </w:p>
    <w:p>
      <w:r>
        <w:rPr>
          <w:b/>
        </w:rPr>
        <w:t>E. 2</w:t>
      </w:r>
    </w:p>
    <w:p>
      <w:r>
        <w:t>Par courrier du 25 mars posté le 29 mars 2014, l'intéressée s'adresse au Tribunal fédéral pour expliquer sa situation, sa volonté de rester en Suisse et le fait qu'aucun avocat n'a voulu défendre sa cause. Elle demande que justice soit faite.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la recourante à l'attention du Tribunal fédéral n'expose pas de manière suffisante eu égard aux exigences de l' art. 42 al. 2 LTF en quoi l'arrêt du 3 mars 2014 et les motifs qu'il retient à l'appui de l'irrecevabilité du recours seraient contraires au droit. A supposer au demeurant que le courrier de la recourante soit considéré comme suffisamment motivé, le recours devrait être rejeté pour les motifs exposés dans l'arrêt attaqué.</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