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2C_303/2023 vom 6. Mai 2025</w:t>
      </w:r>
    </w:p>
    <w:p>
      <w:r>
        <w:t>Bundesgericht, 2025-05-06, DE</w:t>
      </w:r>
    </w:p>
    <w:p>
      <w:r>
        <w:rPr>
          <w:b/>
        </w:rPr>
        <w:t xml:space="preserve">Quelle: </w:t>
      </w:r>
      <w:r>
        <w:t>https://mcp.opencaselaw.ch/entscheid/bger_2C_303_2023</w:t>
      </w:r>
    </w:p>
    <w:p>
      <w:r>
        <w:t>FR: TF 2C_303/2023 du 6 mai 2025</w:t>
      </w:r>
    </w:p>
    <w:p>
      <w:r>
        <w:t>IT: TF 2C_303/2023 del 6 maggio 2025</w:t>
      </w:r>
    </w:p>
    <w:p>
      <w:pPr>
        <w:pStyle w:val="Heading2"/>
      </w:pPr>
      <w:r>
        <w:t>Erwägungen</w:t>
      </w:r>
    </w:p>
    <w:p>
      <w:r>
        <w:rPr>
          <w:b/>
        </w:rPr>
        <w:t>E. 1</w:t>
      </w:r>
    </w:p>
    <w:p>
      <w:r>
        <w:t>Das Bundesgericht prüft seine Zuständigkeit und die weiteren Eintretensvoraussetzungen von Amtes wegen ( Art. 29 Abs. 1 BGG ) und mit freier Kognition ( BGE 147 I 89 E. 1; 146 II 276 E. 1).</w:t>
      </w:r>
    </w:p>
    <w:p>
      <w:r>
        <w:rPr>
          <w:b/>
        </w:rPr>
        <w:t>E. 1.1</w:t>
      </w:r>
    </w:p>
    <w:p>
      <w:r>
        <w:t>Angefochten ist ein kantonal letztinstanzlicher Entscheid in einer Angelegenheit des öffentlichen Rechts, der grundsätzlich der Beschwerde in öffentlich-rechtlichen Angelegenheiten unterliegt (Art. 82 lit. a, Art. 83 e contrario, Art. 86 Abs. 1 lit. d und Abs. 2 BGG ). Fraglich ist indes, ob ein anfechtbarer Entscheid im Sinne der Art. 90 ff. BGG vorliegt.</w:t>
      </w:r>
    </w:p>
    <w:p>
      <w:r>
        <w:rPr>
          <w:b/>
        </w:rPr>
        <w:t>E. 1.1.1</w:t>
      </w:r>
    </w:p>
    <w:p>
      <w:r>
        <w:t>Der Beschwerde in öffentlich-rechtlichen Angelegenheiten unterliegen Endentscheide; diese beenden das Verfahren durch eine abschliessende materielle oder prozessuale Beurteilung ( Art. 90 BGG ; BGE 150 I 174 E. 1.1.1; 141 III 395 E. 2.2; 133 V 477 E. 4.1.1). Ein Endentscheid liegt auch im Falle einer Rückweisung an eine untere Instanz vor, sofern dieser kein Entscheidungsspielraum mehr verbleibt und die Rückweisung nur noch der (rechnerischen) Umsetzung des oberinstanzlich Angeordneten dient ( BGE 150 II 346 E. 1.3.4; 144 V 280 E. 1.2; 142 II 20 E. 1.2 ; 138 I 143 E. 1.2).</w:t>
      </w:r>
    </w:p>
    <w:p>
      <w:r>
        <w:rPr>
          <w:b/>
        </w:rPr>
        <w:t>E. 1.1.2</w:t>
      </w:r>
    </w:p>
    <w:p>
      <w:r>
        <w:t>Eine Variante des Endentscheids stellt der Teilentscheid gemäss Art. 91 BGG dar. In einem Teilentscheid wird nicht über eine materiell-rechtliche Teilfrage entschieden, sondern abschliessend über eines oder einige von mehreren Rechtsbegehren befunden. Ein Entscheid, der nur einen Teil der gestellten Begehren behandelt, ist jedoch nur dann ein vor Bundesgericht anfechtbarer Teilentscheid, wenn diese Begehren unabhängig von den anderen beurteilt werden können ( Art. 91 lit. a BGG ; BGE 150 I 174 E. 1.1.1; 146 III 254 E. 2.1; 135 III 212 E. 1.2.1). Unabhängigkeit im Sinne von Art. 91 lit. a BGG bedeutet zum einen, dass die gehäuften Begehren auch Gegenstand eines eigenen Prozesses hätten bilden können, und zum andern, dass der angefochtene Entscheid einen Teil des gesamten Prozessgegenstandes abschliessend beurteilt, so dass keine Gefahr besteht, dass das Schlussurteil über den verbliebenen Prozessgegenstand im Widerspruch zum bereits rechtskräftig ausgefällten Teilurteil steht ( BGE 146 III 254 E. 2.1.1; 141 III 395 E. 2.4; Urteile 1C_551/2021 vom 15. Mai 2023 E. 1.1 i.f.; 9C_214/2022 vom 3. August 2022 E. 3.3 i.f.). Nicht nur über die bereits beurteilten Begehren muss unabhängig von den noch nicht beurteilten entschieden werden können, sondern auch über die noch nicht beurteilten unabhängig von den bereits beurteilten ( BGE 146 III 254 E. 2.1.4 f.; vgl. auch Urteil 1C_142/2021 vom 22. Dezember 2021 E. 1; 1C_400/2016 vom 24. März 2017 E. 1.1).</w:t>
      </w:r>
    </w:p>
    <w:p>
      <w:r>
        <w:rPr>
          <w:b/>
        </w:rPr>
        <w:t>E. 1.1.3</w:t>
      </w:r>
    </w:p>
    <w:p>
      <w:r>
        <w:t>Die Beschwerde steht weiter offen gegen selbstständig eröffnete Vor- und Zwischenentscheide über die Zuständigkeit und über Ausstandsbegehren (vgl. Art. 92 BGG ). Ausserdem ist die Beschwerde gegen Vor- und Zwischenentscheide zulässig, wenn diese einen nicht wieder gutzumachenden Nachteil bewirken können ( Art. 93 Abs. 1 lit. a BGG ; BGE 149 II 476 E. 1.2.1; 147 III 159 E. 4.1; 147 IV 188 E. 1.3.2) oder wenn die Gutheissung der Beschwerde sofort einen Endentscheid herbeiführen und damit einen bedeutenden Aufwand an Zeit oder Kosten für ein weitläufiges Beweisverfahren ersparen würde ( Art. 93 Abs. 1 lit. b BGG ; BGE 134 III 426 E. 1.3.2). Der nicht wieder gutzumachende Nachteil im Sinne von Art. 93 Abs. 1 lit. a BGG muss grundsätzlich ein Nachteil rechtlicher Natur sein, der auch durch einen späteren günstigen Endentscheid nicht oder nicht gänzlich beseitigt werden kann. Rein tatsächliche Nachteile wie die Verfahrensverlängerung oder -verteuerung reichen grundsätzlich nicht aus ( BGE 149 II 476 E. 1.2.1; 149 II 170 E. 1.3; 144 III 475 E. 1.2). Es obliegt der beschwerdeführenden Partei, einen nicht wieder gutzumachenden Nachteil darzulegen, soweit dessen Vorliegen nicht offensichtlich ist (vgl. Art. 42 Abs. 2 BGG ; BGE 148 IV 155 E. 1.1; 147 III 159 E. 4.1; Urteile 1C_736/2024 vom 18. Februar 2025 E. 2.2; 1C_439/2020 vom 9. September 2021 E. 3). Die selbstständige Anfechtbarkeit von Zwischenentscheiden bildet zudem aus prozessökonomischen Gründen eine Ausnahme vom Grundsatz, dass sich das Bundesgericht mit jeder Angelegenheit nur einmal befassen soll ( BGE 149 II 170 E. 1.3; 142 II 20 E. 1.2 i.f.; 134 III E. 2.2). Ist die Beschwerde gegen einen Zwischenentscheid gemäss Art. 93 Abs. 1 BGG nicht zulässig oder wurde von ihr kein Gebrauch gemacht, bleibt der Zwischenentscheid im Rahmen einer Beschwerde gegen den Endentscheid anfechtbar, soweit er sich auf dessen Inhalt auswirkt ( Art. 93 Abs. 3 BGG ).</w:t>
      </w:r>
    </w:p>
    <w:p>
      <w:r>
        <w:rPr>
          <w:b/>
        </w:rPr>
        <w:t>E. 1.1.4</w:t>
      </w:r>
    </w:p>
    <w:p>
      <w:r>
        <w:t>Vorliegend hat die Vorinstanz die Angelegenheit an die Justiz- und Sicherheitsdirektion mit der Anweisung zurückgewiesen, die Service-Zusatzpauschale bzw. Dienstleistungspauschale höher anzusetzen und konkreter auszugestalten; zugleich hat sie die Beschwerde abgewiesen, soweit das Bundesamt das Fehlen einer ausdrücklichen Auflage bemängelte, wonach die Erwerberinnen und Erwerber einer U.________-Residenz zu verpflichten seien, ihre Wohneinheit der Hotelbetreiberin zur Bewirtschaftung, also zur Weitervermietung an andere Gäste, zu überlassen.</w:t>
      </w:r>
    </w:p>
    <w:p>
      <w:r>
        <w:rPr>
          <w:b/>
        </w:rPr>
        <w:t>E. 1.1.5</w:t>
      </w:r>
    </w:p>
    <w:p>
      <w:r>
        <w:t>Beim angefochtenen Urteil handelt es sich um einen Rückweisungsentscheid. Dieser kann nicht integral als Endentscheid gemäss Art. 90 BGG qualifiziert werden, weil der unteren Instanz ein Entscheidungsspielraum hinsichtlich der Ausgestaltung der Dienstleistungspauschale verbleibt (vgl. vorne E. 1.1.1). Ebenso wenig liegt mit dem angefochtenen Urteil bezogen auf die streitgegenständliche Frage der Weitervermietungspflicht ein Teilentscheid im Sinne von Art. 91 BGG vor: Zwar liesse sich die Frage der Weitervermietungspflicht unabhängig von der Ausgestaltung der Dienstleistungspauschale beurteilen. Umgekehrt besteht aber insofern eine Abhängigkeit, als eine durchgehend zu entrichtende Dienstleistungspauschale der Pflicht widersprechen würde, die Wohneinheit der Hotelbetreiberin zur Weitervermietung zu überlassen. Insofern stellt die Weitervermietungspflicht nicht eines von mehreren Rechtsbegehren, sondern eine materiell-rechtliche Teilfrage eines Rechtsbegehrens dar. Damit ist das Erfordernis der Unabhängigkeit gemäss Art. 91 lit. a BGG nicht erfüllt (vgl. vorne E. 1.1.2).</w:t>
      </w:r>
    </w:p>
    <w:p>
      <w:r>
        <w:rPr>
          <w:b/>
        </w:rPr>
        <w:t>E. 1.1.6</w:t>
      </w:r>
    </w:p>
    <w:p>
      <w:r>
        <w:t>Das angefochtene Urteil stellt folglich einen Zwischenentscheid dar, der nur unter den Voraussetzungen von Art. 93 Abs. 1 BGG anfechtbar ist (vorne E. 1.1.3). Entgegen den Vorbringen des Bundesamts ist allerdings ein nicht wieder gutzumachender Nachteil gemäss Art. 93 Abs. 1 lit. a BGG nicht ersichtlich. So ist namentlich die Befürchtung unbegründet, einzelne U.________-Residenzen könnten verkauft und gutgläubigen Käuferinnen und Käufern könnte im Anschluss die Weitervermietungspflicht nicht mehr entgegengehalten werden, wenn die Frage der Weitervermietungspflicht nicht im jetzigen Verfahrensstadium geklärt wird. Die Pflicht, im Falle eines nachgelagerten Erwerbs einer Wohneinheit die Nichtbewilligungspflicht feststellen oder gegebenenfalls den Erwerb bewilligen zu lassen, ergibt sich nicht erst aus der Feststellungsverfügung vom 16. Juli 2010 betreffend den Gesamterwerb, sondern unmittelbar aus Art. 17 Abs. 1 BewG und wird gemäss Art. 18 Abs. 1 BewG vom Grundbuchverwalter sichergestellt. Diese Pflicht gilt folglich auch für den Erwerb von Wohneinheiten, die von der Feststellungsverfügung, deren Wiedererwägung hier Streitgegenstand bildet, noch nicht erfasst worden sind. Ohnehin vermag die Feststellungsverfügung vom 16. Juli 2010 betreffend den Gesamterwerb bereits deshalb kein schutzwürdiges Vertrauen der Käuferinnen und Käufer einzelner Wohneinheiten zu begründen, weil diese Verfügung sich an die Beschwerdegegnerinnen richtet und auf deren Gesuch hin in Wiedererwägung gezogen worden ist. Dieses Verfahren ist noch nicht abgeschlossen. Daran ändert der vorinstanzliche Rückweisungsentscheid nichts, hat dieser doch gerade keinen Verfahrensabschluss zur Folge (vgl. vorne E. 1.1.5). Auch auf die Frage, ob die Feststellungsverfügung vom 16. Juli 2010 für die Beschwerdegegnerinnen eine Vertrauensgrundlage darstellt, hat ein Nichteintreten keine präjudizierende Wirkung. Sodann ist der Umstand unbeachtlich, dass sich die Vorinstanz möglicherweise nach dem neuen Entscheid der Bewilligungsbehörde im zweiten Rechtsgang mit denselben Sach- und Rechtsfragen auseinandersetzen wird, die sie bereits im angefochtenen Urteil beantwortet hat. Darin ist weder ein nicht wieder gutzumachender Nachteil im Sinne von Art. 93 Abs. 1 lit. a BGG noch eine Verfahrensverzögerung gemäss Art. 93 Abs. 1 lit. b BGG zu erkennen.</w:t>
      </w:r>
    </w:p>
    <w:p>
      <w:r>
        <w:rPr>
          <w:b/>
        </w:rPr>
        <w:t>E. 1.2</w:t>
      </w:r>
    </w:p>
    <w:p>
      <w:r>
        <w:t>Der angefochtene Entscheid stellt einen Zwischenentscheid dar. Weder legt es das Bundesamt dar noch ist es ersichtlich, dass die Voraussetzungen von Art. 93 Abs. 1 lit. a oder lit. b BGG erfüllt sind. Damit liegt kein zulässiges Anfechtungsobjekt vor.</w:t>
      </w:r>
    </w:p>
    <w:p>
      <w:r>
        <w:rPr>
          <w:b/>
        </w:rPr>
        <w:t>E. 2</w:t>
      </w:r>
    </w:p>
    <w:p>
      <w:r>
        <w:t>Auf die Beschwerde ist mangels anfechtbarem Entscheid nicht einzutreten. Bei diesem Verfahrensausgang sind keine Gerichtskosten zu erheben ( Art. 66 Abs. 1 und 4 BGG ). Das Bundesamt hat die Beschwerdegegnerinnen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