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302/2021 vom 21. Juni 2021</w:t>
      </w:r>
    </w:p>
    <w:p>
      <w:r>
        <w:t>Bundesgericht, 2021-06-21, DE</w:t>
      </w:r>
    </w:p>
    <w:p>
      <w:r>
        <w:rPr>
          <w:b/>
        </w:rPr>
        <w:t xml:space="preserve">Quelle: </w:t>
      </w:r>
      <w:r>
        <w:t>https://mcp.opencaselaw.ch/entscheid/bger_2C_302_2021</w:t>
      </w:r>
    </w:p>
    <w:p>
      <w:r>
        <w:t>FR: TF 2C 302/2021 du 21 juin 2021</w:t>
      </w:r>
    </w:p>
    <w:p>
      <w:r>
        <w:t>IT: TF 2C 302/2021 del 21 giugno 2021</w:t>
      </w:r>
    </w:p>
    <w:p>
      <w:pPr>
        <w:pStyle w:val="Heading2"/>
      </w:pPr>
      <w:r>
        <w:t>Regeste</w:t>
      </w:r>
    </w:p>
    <w:p>
      <w:r>
        <w:t>Einfuhrabgaben; Nachforderungsverfügung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83, Art. 86 Abs. 1 lit. a, Art. 90 BGG ). Auf die form- und fristgerecht ( Art. 42, Art. 100 Abs. 1 BGG ) eingereichte Beschwerde des hierzu legitimierten Beschwerdeführers ( Art. 89 Abs. 1 BGG ) ist einzutreten.</w:t>
      </w:r>
    </w:p>
    <w:p>
      <w:r>
        <w:rPr>
          <w:b/>
        </w:rPr>
        <w:t>E. 1.2</w:t>
      </w:r>
    </w:p>
    <w:p>
      <w:r>
        <w:t>Anfechtungsgegenstand des vorliegenden Verfahrens bildet einzig der vorinstanzliche Entscheid, der die Verfügung der Oberzolldirektion vollumfänglich ersetzt hat (sog. Devolutiveffekt; Art. 54 VwVG ). Soweit der Beschwerdeführer im vorliegenden Verfahren die Aufhebung von Dispositivziffer 1 der Verfügung der Oberzolldirektion verlangt, ist daher auf die Beschwerde nicht einzutreten. Immerhin gelten Entscheide unterer Instanzen als inhaltlich mitangefochten (vgl. Urteil 2C_717/ 2017 vom 25. November 2019, E. 1.2, m.w.H.).</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w:t>
      </w:r>
    </w:p>
    <w:p>
      <w:r>
        <w:rPr>
          <w:b/>
        </w:rPr>
        <w:t>E. 3</w:t>
      </w:r>
    </w:p>
    <w:p>
      <w:r>
        <w:t>Gemäss Art. 12 Abs. 1 lit. a des Bundesgesetzes über das Verwaltungsstrafrecht vom 22. März 1974 (VStrR; SR 313.0) ist eine Abgabe, die infolge einer Widerhandlung gegen die Verwaltungsgesetzgebung des Bundes zu Unrecht nicht erhoben worden ist, ohne Rücksicht auf die Strafbarkeit einer bestimmten Person nachzuentrichten. Leistungspflichtig ist nach Art. 12 Abs. 2 VStrR unter anderem, wer in den Genuss des unrechtmässigen Vorteils gelangt ist, insbesondere der zur Zahlung der Abgabe Verpflichtete. Bezogen auf den vorliegenden Fall setzt die Nachzahlungspflicht eine Widerhandlung gegen die Zoll- bzw. Mehrwertsteuergesetzgebung voraus; nicht erforderlich ist hingegen, dass die abgabepflichtige Person im Sinn von Art. 12 Abs. 2 VStrR ein Verschulden trifft oder dass gegen sie eine Strafverfolgung eingeleitet wurde ( BGE 129 II 385 E. 3.4.3; Urteile 2C_382/2017 vom 13. Dezember 2018 E. 2.2; 2C_912/2015 vom 20. September 2016 E. 5.1).</w:t>
      </w:r>
    </w:p>
    <w:p>
      <w:r>
        <w:rPr>
          <w:b/>
        </w:rPr>
        <w:t>E. 4</w:t>
      </w:r>
    </w:p>
    <w:p>
      <w:r>
        <w:t>Vorliegend ging die Vorinstanz davon aus, dass der Beschwerdeführer sich einen unrechtmässigen Zollvorteil verschafft habe, indem er Waren bei der Einfuhr zu Unrecht zu Präferenzsätzen verzollt habe (vgl. für mexikanisches Bier der Zolltarifnummer 2203.0031 Anhang II des Landwirtschaftsabkommens vom 27. November 2000 zwischen der Schweizerischen Eidgenossenschaft und den Vereinigten Mexikanischen Staaten [Landwirtschaftsabkommen CH-MX; SR 0.632.315.631.11]; vgl. für deutsche Gewürzsaucen der Zolltarifnummern 2103.2000 und 2103.9000 Art. 1 Abs. 2 i.V.m. Tabelle I i.V.m. Tabelle IV lit. c und Tabelle II des Protokolls Nr. 2 zum Freihandelsabkommen vom 22. Juli 1972 zwischen der Schweizerischen Eidgenossenschaft und der Europäischen Wirtschaftsgemeinschaft [FHA CH-EWG; SR 0.632.401.2]). Weil die Einfuhrsteuer auf diesem zu niedrigen Betrag erhoben worden sei ( Art. 54 Abs. 3 lit. a MWSTG [SR 641.20]), habe er sich auch einen unrechtmässigen Einfuhrsteuervorteil verschafft (vgl. E. 3.3.3 des angefochtenen Entscheids). Konkret hätten die C.________ AG und die A.________ GmbH für die streitbetroffenen Einfuhren keine gültigen Ursprungszeugnisse beigebracht. Angesichts der jeweiligen Rechnungsbeträge sei zwar nicht zu beanstanden, dass statt einer Warenverkehrsbescheinigung EUR.1 (vgl. Art. 16 Abs. 1 lit. a Anhang I des Freihandelsabkommens vom 27. November 2000 zwischen den EFTA-Staaten und den Vereinigten Mexikanischen Staaten [FHA EFTA-MX; SR 0.632.315.631.1; Anhang I ist weder in der AS noch in der SR publiziert, allerdings unter &lt;www.efta.int/free-trade/free-trade-agreements/mexico/&gt; verfügbar]; Art. 15 Abs. 1 lit. a Anlage I des Regionalen Übereinkommens vom 15. Juni 2011 über Pan-Europa-Mittelmeer-Präferenzursprungsregeln [PEMP-Übereinkommen; SR 0.946.31]) eine "Erklärung auf der Rechnung" (vgl. für das eingeführte Bier Art. 16 Abs. 1 lit. b Anhang I FHA EFTA-MX; für die eingeführten Gewürzsaucen Art. 15 Abs. 1 lit. c Anlage I PEMP-Übereinkommen ["Ursprungserklärung"]) vorgelegt worden sei (Art. 16 Abs. 1 lit. b i.V.m. Art. 21 Abs. 1 lit. b Anhang I FHA EFTA-MX; Art. 21 Abs. 1 i.V.m. Art. 15 Abs. 1 lit. c Anlage I PEMP-Übereinkommen) (vgl. E. 3.1.1 des angefochtenen Urteils). Aufgrund der Umstände (Aufteilung einer Sendung auf jeweils drei, teilweise nicht existierende Empfänger; gleiche Wortwahl und teils gleiche Formatierung von Rechnungen angeblich unterschiedlicher Exporteure) habe die Zollkreisdirektion allerdings berechtigterweise Zweifel an der Echtheit der Erklärungen auf der Rechnung gehegt und diese deshalb einer Prüfung durch die zuständigen mexikanischen bzw. deutschen Behörden unterziehen lassen ( Art. 30 Abs. 2 Anhang I FHA EFTA-MX i.V.m. Art. 5 FHA EFTA-MX i.V.m. Art. 14 Anhang III Landwirtschaftsabkommen CH-MX; Art. 31 Abs. 2 Anlage I PEMP-Übereinkommen bzw. Art. 32 Abs. 2 des Protokolls Nr. 3 vom 15. Dezember 2005 über die Bestimmung des Begriffs "Erzeugnisse mit Ursprung in" oder "Ursprungserzeugnisse" und über die Methoden der Zusammenarbeit der Verwaltungen [in den vorliegend anwendbaren Fassungen vom 1. Juli 2013, AS 2013 2733, bzw. 15. Dezember 2005, AS 2005 3599, die beide in Bezug auf die hier relevanten Bestimmungen identisch sind; nachfolgend aProtokoll Nr. 3]; vgl. E. 3.1.2.1 des angefochtenen Urteils). Die deutsche Behörde habe auf Anfrage hin für sämtliche ihr übermittelten Erklärungen mitgeteilt, dass das Unternehmen, welches die Rechnung ausgestellt haben solle, diese tatsächlich nicht ausgestellt und auch die darauf befindlichen Ursprungserklärungen weder erstellt noch unterschrieben habe. Insofern habe durch die zuständige Behörde weder die Echtheit noch die Richtigkeit der Erklärungen bestätigt werden können. Die entsprechenden Ursprungserklärungen seien deshalb als ungültig zu betrachten (Art. 32 Abs. 6 Anlage I PEMP-Übereinkommen bzw. Art. 33 Abs. 6 aProtokoll Nr. 3) (vgl. E. 3.1.2.2 des angefochtenen Urteils). In Bezug auf die Rechnungen aus Mexiko habe die zuständige Behörde teilweise ebenfalls festgehalten, dass das Unternehmen, welches die Rechnung ausgestellt haben solle, dies tatsächlich nicht getan habe, weshalb die Echtheit nicht bestätigt werden könne. Teilweise habe diese Behörde aber auch nur erklärt, dass das Unternehmen, welches die Rechnung ausgestellt haben solle, der Herstellerin des Bieres der Marke "Corona" nicht bekannt sei, und dass die Herstellerin mit jenem Unternehmen keine Geschäfte tätige; angesichts des Umstands, dass auf den Rechnungen teilweise im Briefkopf angegeben werde, die Ausstellerin der Rechnung sei Verteilerin der Herstellerin, kämen zusätzliche Zweifel an der Echtheit der Ursprungserklärungen auf. So oder anders hätten die mexikanischen Behörden nicht genügend Informationen geliefert, damit von der Echtheit der Ursprungserklärungen ausgegangen werden könne ( Art. 31 Abs. 5 Anhang I FHA EFTA-MX i.V.m. Art. 5 FHA EFTA-MX i.V.m. Art. 14 Anhang III Landwirtschaftsabkommen CH-MX), weshalb die Oberzolldirektion zurecht davon ausgegangen sei, dass keine präferenzielle Behandlung gewährt werden könne (vgl. E. 3.1.2.3 und E. 3.1.3 des angefochtenen Entscheids). Dies gelte im Übrigen auch für jene Rechnungen, die den in den jeweiligen Ausfuhrstaaten zuständigen Behörden nicht zur Überprüfung vorgelegt worden seien, ergebe sich doch aus den Akten nicht, dass diese Fälle anders gelagert wären, als die tatsächlich überprüften Fälle. Die Oberzolldirektion habe vor diesem Hintergrund für die Verzollung sämtlicher betroffenen Einfuhren den Normalansatz zugrunde legen dürfen (vgl. E. 3.2 des angefochtenen Entscheids). In Bezug auf die persönliche Nachleistungspflicht ( Art. 12 Abs. 2 VStrR ) des Beschwerdeführers erwog die Vorinstanz, entgegen (teilweise) anderslautender Deklaration seien sämtliche Einfuhren durch die C.________ AG und die A.________ GmbH zollrechtlich veranlasst worden. Bei der C.________ AG sei der Beschwerdeführer für Ein- und Verkauf verantwortlich und zudem als Verwaltungsrat tätig gewesen; bei der A.________ GmbH sei er Geschäftsführer gewesen. Er habe damit zumindest als faktisches Organ die Einfuhren veranlasst und sei deshalb nach Art. 70 ZG zollzahlungspflichtig (vgl. E. 3.4.4 des angefochtenen Entscheids).</w:t>
      </w:r>
    </w:p>
    <w:p>
      <w:r>
        <w:rPr>
          <w:b/>
        </w:rPr>
        <w:t>E. 5</w:t>
      </w:r>
    </w:p>
    <w:p>
      <w:r>
        <w:t>Was der Beschwerdeführer gegen die Würdigung der Vorinstanz einwendet, überzeugt nicht.</w:t>
      </w:r>
    </w:p>
    <w:p>
      <w:r>
        <w:rPr>
          <w:b/>
        </w:rPr>
        <w:t>E. 5.1</w:t>
      </w:r>
    </w:p>
    <w:p>
      <w:r>
        <w:t>Der Beschwerdeführer rügt, die Vorinstanz habe den Untersuchungsgrundsatz verletzt, weil sie nicht sämtliche Erklärungen auf der Rechnung durch den Ausfuhrstaat habe überprüfen lassen. Inhaltlich beanstandet der Beschwerdeführer damit die vorinstanzliche Feststellung, dass auch bezüglich der von den mexikanischen bzw. deutschen Behörden nicht überprüften Rechnungen kein gültiger Ursprungsnachweis vorliegt. Die Rüge ist unbegründet: Vorliegend hatte die Zollkreisdirektion eine sehr grosse Zahl von Einfuhren mit überschaubarem Warenwert zu überprüfen; Gegenstand dieser Einfuhren bildeten immer dieselben Produkte (Bier und Gewürzsauce), die überdies - jedenfalls gemäss den vom Beschwerdeführer beigebrachten Dokumenten - über ähnliche Lieferketten beschafft worden sind. Bei dieser Sachlage ist nicht zu beanstanden, dass die EZV den zuständigen Behörden Mexikos und Deutschlands nur eine (repräsentative) Stichprobe der eingereichten Ursprungserklärungen zur Prüfung unterbreitet hat. Aus dem Umstand, dass sie sodann für keine der unterbreiteten Rechnungen eine Bestätigung der Echtheit erhalten hat (vgl. E. 4 hiervor), durfte sie ferner willkürfrei schliessen, dass es sich mit den anderen - inhaltlich und formal gleich gestalteten Rechnungen - nicht anders verhalte. Der Beschwerdeführer substanziiert auch im vorliegenden Verfahren nicht, dass die Fälle unterschiedlich gelagert wären. Mit der Vorinstanz ist deshalb davon auszugehen, dass für sämtliche streitbetroffenen Einfuhren keine gültigen Ursprungsnachweise vorliegen ( Art. 105 Abs. 1 BGG ). Da es rechtlich für die hier zu beurteilenden Fragen im Übrigen nicht darauf ankommt, ob die Rechnungen mit den Ursprungserklärungen gefälscht worden sind (vgl. Art. 31 Abs. 5 Anhang I FHA EFTA-MX i.V.m. Art. 5 FHA EFTA-MX i.V.m. Art. 14 Anhang III Landwirtschaftsabkommen CH-MX; Art. 32 Abs. 6 Anlage I PEMP-Übereinkommen bzw. Art. 33 Abs. 6 aProtokoll Nr. 3), ist auf die diesbezüglichen Vorbringen des Beschwerdeführers nicht weiter einzugehen. Anzubringen ist einzig der Hinweis, dass die Vorinstanz ausdrücklich offen gelassen hat, ob der Beschwerdeführer Ursprungserklärungen gefälscht hat (vgl. E. 3.1.4 des angefochtenen Entscheids).</w:t>
      </w:r>
    </w:p>
    <w:p>
      <w:r>
        <w:rPr>
          <w:b/>
        </w:rPr>
        <w:t>E. 5.2</w:t>
      </w:r>
    </w:p>
    <w:p>
      <w:r>
        <w:t>In rechtlicher Hinsicht beanstandet der Beschwerdeführer, dass es selbst bei einer allfälligen Unvollständigkeit bzw. Fehlerhaftigkeit der Ursprungserklärungen nicht angehe, Abgaben nachzubelasten. In diesem Zusammenhang ist der Vorinstanz beizupflichten, dass die Präferenzbehandlung der vorliegend eingeführten Waren von einem gültigen Ursprungsnachweis abhing (vgl. zu den Anforderungen an die Erklärung eines nicht ermächtigten Ausführers insbesondere Art. 21 Abs. 5 Satz 1 Anhang 1 FHA EFTA-MX [in Bezug auf Mexiko]; Art. 24 Abs. 1 Satz 1 Anlage I PEMP-Übereinkommen und Art. 25 Satz 1 aProtokoll Nr. 3 [in Bezug auf Deutschland]). Nachdem der Beschwerdeführer nicht darzulegen vermag, dass solche Ursprungsnachweise hier vorliegen, ist nicht zu beanstanden, dass die Vorinstanz davon ausgegangen ist, dass Waren bei der Einfuhr fahrlässig oder vorsätzlich unrichtig angemeldet worden sind ( Art. 118 Abs. 1 ZG , Art. 96 Abs. 4 lit. a MWSTG ) und damit eine Widerhandlung gegen die Verwaltungsgesetzgebung des Bundes vorliegt ( Art. 12 Abs. 1 VStrR ).</w:t>
      </w:r>
    </w:p>
    <w:p>
      <w:r>
        <w:rPr>
          <w:b/>
        </w:rPr>
        <w:t>E. 5.3</w:t>
      </w:r>
    </w:p>
    <w:p>
      <w:r>
        <w:t>Schliesslich argumentiert der Beschwerdeführer, das Kantonsgericht Schwyz habe in einem Strafurteil unmissverständlich festgehalten, dass er nicht Geschäftsführer der C.________ AG gewesen sei; entsprechend sei er auch nicht Schuldner allfälliger Zollgebühren und Verzugszinsen. Diesbezüglich ist auf die zutreffende vorinstanzliche Erwägung zu verweisen, dass die vom Kantonsgericht Schwyz geprüfte strafrechtliche Frage, ob der Tatbestand der ungetreuen Geschäftsbesorgung erfüllt ist, von der zollrechtlichen Beurteilung der Abgabepflicht zu unterscheiden ist (vgl. E. 3.4.4 des angefochtenen Entscheids). Die Vorinstanz hat für das Bundesgericht verbindlich festgestellt, dass der Beschwerdeführer zumindest faktisches Organ der C.________ AG gewesen ist und als solches einen Teil der streitbetroffenen Einfuhren veranlasst habe. Weitere Einfuhren hat der Beschwerdeführer in seiner Eigenschaft als Verwaltungsrat der A.________ GmbH veranlasst. Damit ist offensichtlich, dass er mit Blick auf die streitbetroffenen Einfuhren zu den Zollschuldnern gehört ( Art. 70 Abs. 2 lit. a ZG ).</w:t>
      </w:r>
    </w:p>
    <w:p>
      <w:r>
        <w:rPr>
          <w:b/>
        </w:rPr>
        <w:t>E. 5.4</w:t>
      </w:r>
    </w:p>
    <w:p>
      <w:r>
        <w:t>Weitere Rügen erhebt der Beschwerdeführer nicht. Da nicht ersichtlich ist, dass das angefochtene Urteil anderweitig an offensichtlichen rechtlichen Mängeln leiden könnte, erübrigen sich Weiterungen.</w:t>
      </w:r>
    </w:p>
    <w:p>
      <w:r>
        <w:rPr>
          <w:b/>
        </w:rPr>
        <w:t>E. 6</w:t>
      </w:r>
    </w:p>
    <w:p>
      <w:r>
        <w:t>Die Beschwerde erweist sich nach den vorstehenden Erwägungen als unbegründet. Sie ist abzuweisen.</w:t>
      </w:r>
    </w:p>
    <w:p>
      <w:r>
        <w:rPr>
          <w:b/>
        </w:rPr>
        <w:t>E. 7.1</w:t>
      </w:r>
    </w:p>
    <w:p>
      <w:r>
        <w:t>Dem Antrag auf Gewährung der unentgeltlichen Rechtspflege kann nicht stattgegeben werden, zumal die Beschwerdeanträge im Lichte ihrer Begründung als aussichtslos erscheinen ( Art. 64 Abs. 1 BGG ).</w:t>
      </w:r>
    </w:p>
    <w:p>
      <w:r>
        <w:rPr>
          <w:b/>
        </w:rPr>
        <w:t>E. 7.2</w:t>
      </w:r>
    </w:p>
    <w:p>
      <w:r>
        <w:t>Damit trägt der Beschwerdeführer die Verfahrenskosten ( Art. 66 Abs. 1 BGG ); bei der Bemessung der Verfahrenskosten ist dem Umstand Rechnung zu tragen, dass erst im Endentscheid über die unentgeltliche Rechtspflege befunden worden ist (vgl. E. 7.1 hiervor).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