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302/2019 vom 1. April 2019</w:t>
      </w:r>
    </w:p>
    <w:p>
      <w:r>
        <w:t>Bundesgericht, 2019-04-01, FR</w:t>
      </w:r>
    </w:p>
    <w:p>
      <w:r>
        <w:rPr>
          <w:b/>
        </w:rPr>
        <w:t xml:space="preserve">Quelle: </w:t>
      </w:r>
      <w:r>
        <w:t>https://mcp.opencaselaw.ch/entscheid/bger_2C_302_2019</w:t>
      </w:r>
    </w:p>
    <w:p>
      <w:r>
        <w:t>FR: TF 2C 302/2019 du 1 avril 2019</w:t>
      </w:r>
    </w:p>
    <w:p>
      <w:r>
        <w:t>IT: TF 2C 302/2019 del 1 aprile 2019</w:t>
      </w:r>
    </w:p>
    <w:p>
      <w:pPr>
        <w:pStyle w:val="Heading2"/>
      </w:pPr>
      <w:r>
        <w:t>Regeste</w:t>
      </w:r>
    </w:p>
    <w:p>
      <w:r>
        <w:t>Refus d'octroi d'autorisations de séjour | Droit de cité et droit des étrangers</w:t>
      </w:r>
    </w:p>
    <w:p>
      <w:pPr>
        <w:pStyle w:val="Heading2"/>
      </w:pPr>
      <w:r>
        <w:t>Erwägungen</w:t>
      </w:r>
    </w:p>
    <w:p>
      <w:r>
        <w:rPr>
          <w:b/>
        </w:rPr>
        <w:t>E. 1</w:t>
      </w:r>
    </w:p>
    <w:p>
      <w:r>
        <w:t>Par arrêt du 26 février 2019, la Cour de droit administratif et public du Tribunal cantonal du canton de Vaud (ci-après: le Tribunal cantonal) a rejeté un recours que A.X.________ et B.X.________ avaient interjeté contre une décision du Service de la population du canton de Vaud du 4 septembre 2018 leur refusant l'octroi, ainsi qu'à leurs enfants, d'autorisations de séjour. A.X.________ vivait illégalement en Suisse depuis 2005, alors que sa femme y vivait illégalement depuis 2010, ce qui excluait l'application de l' art. 8 CEDH . En outre, leur situation n'était pas constitutive de raisons personnelles majeures au sens de l' art. 30 al. 1 let. b LEI (RS 142.20).</w:t>
      </w:r>
    </w:p>
    <w:p>
      <w:r>
        <w:rPr>
          <w:b/>
        </w:rPr>
        <w:t>E. 2</w:t>
      </w:r>
    </w:p>
    <w:p>
      <w:r>
        <w:t>Agissant par la voie du recours en matière de droit public et celle, subsidiaire, du recours constitutionnel, A.X.________ et B.X.________, ainsi que leur trois enfants demandent au Tribunal fédéral, sous suite de frais et dépens, outre l'effet suspensif, d'annuler l'arrêt du Tribunal cantonal du 26 février 2019 et de leur octroyer des autorisations de séjour; subsidiairement d'annuler l'arrêt précité et de renvoyer la cause à l'autorité précédente pour instruction complémentaire et nouvelle décision dans le sens des considérants.</w:t>
      </w:r>
    </w:p>
    <w:p>
      <w:r>
        <w:rPr>
          <w:b/>
        </w:rPr>
        <w:t>E. 3</w:t>
      </w:r>
    </w:p>
    <w:p>
      <w:r>
        <w:t>Le recours en matière de droit public est irrecevable contre les décisions en matière de droit des étrangers qui concernent les dérogations aux conditions d'admission ( art. 83 let . c ch. 5 LTF). En tant que les recourants invoquent sous l'angle de l'arbitraire une violation de l'art. 30 LEtr, qui énonce la liste de ces dérogations, ou une violation de la pratique "Papyrus", qui constitue en réalité la reconnaissance d'un cas de rigueur au sens de l' art. 30 al. 1 let. b LEI , le recours en matière de droit public est irrecevable.</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Les recourants se prévalent du droit au respect de la vie privée garanti par l' art. 8 CEDH .</w:t>
      </w:r>
    </w:p>
    <w:p>
      <w:r>
        <w:rPr>
          <w:b/>
        </w:rPr>
        <w:t>E. 4.1</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rPr>
          <w:b/>
        </w:rPr>
        <w:t>E. 4.2</w:t>
      </w:r>
    </w:p>
    <w:p>
      <w:r>
        <w:t>En l'espèce, le recourant 1 séjourne et travaille en Suisse depuis 2005 sans autorisation. Son épouse séjourne quant à elle illégalement en Suisse depuis 2010. Leurs enfants, qui sont tous les trois nés en Suisse, ne bénéficient pas non plus d'autorisations pour demeurer dans ce pays. Il résulte de ce qui précède qu'aucun des recourants n'a séjourné légalement en Suisse plus de dix ans. Ce n'est qu'en 2017 qu'ils ont décidé de régulariser leur situation, raison pour laquelle ils ne peuvent au surplus se targuer d'une bonne intégration, acquise en marge de la légalité, pour se prévaloir du droit à une autorisation de séjour fondée sur la protection de la vie privée garantie par l' art. 8 CEDH . Cela reviendrait en effet à admettre contre tout bon sens que l'addition d'années de séjour illégal équivaut au droit d'obtenir une autorisation de séjour fondée sur l' art. 8 CEDH et par conséquent à récompenser en dernier ressort une attitude contraire au droit. Partant, les explications des recourants quant à la possibilité d'invoquer l' art. 8 CEDH , malgré un séjour illégal, ne sauraient être suivies. L'arrêt de la CourEDH Jeunesse c. Pays-Bas du 3 octobre 2014, requête n° 12738/10, cités par les recourants, ne permet pas d'arriver à une autre conclusion. En effet, cet arrêt ne fait que confirmer la jurisprudence selon laquelle la situation d'un immigré établi est différente de celle d'un étranger sollicitant l'admission sur le territoire national (§ 105), respectivement la jurisprudence selon laquelle l' art. 8 CEDH ne saurait s'interpréter comme comportant pour un Etat l'obligation générale de respecter le choix, par les couples mariés, de leur pays de résidence et de permettre le regroupement familial sur le territoire de ce pays (§ 107). Ce n'est qu'à titre exceptionnel, en présence d'un cumul de circonstances particulières, que dans la cause précitée, la CourEDH a admis une obligation positive des Pays-Bas de régulariser la situation de la requérante (tous les autres membres de sa famille, c'est-à-dire son mari et ses trois enfants, étaient ressortissants néerlandais et donc au bénéfice d'un droit de demeurer dans ce pays; à sa naissance, la requérante avait également la nationalité néerlandaise; la requérante résidait depuis seize ans aux Pays-Bas; la présence de la requérante était tolérée par les autorités de ce pays; les enfants de la requérante étaient profondément enracinés dans leur pays d'origine et leur intérêt supérieur s'opposait à devoir le quitter ou à être séparés de leur mère). Une telle situation exceptionnelle ne se retrouve pas dans le cas d'espèce, déjà par le simple fait qu'aucun des membres de la famille n'a la nationalité suisse et, par conséquent, un droit de demeurer dans ce pays. Il s'ensuit que les recourants ne peuvent pas se prévaloir de manière défendable du droit au respect de la vie privée garanti par l' art. 8 CEDH . Le recours en matière de droit public est irrecevable sous cet angle également.</w:t>
      </w:r>
    </w:p>
    <w:p>
      <w:r>
        <w:rPr>
          <w:b/>
        </w:rPr>
        <w:t>E. 5</w:t>
      </w:r>
    </w:p>
    <w:p>
      <w:r>
        <w:t>Seule reste ouverte la voie du recours constitutionnel subsidiaire ( art. 113 LTF a contrario )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ni de l' art. 8 CEDH , ni de l' art. 30 LEI , ni invoquer de manière indépendante l'interdiction de l'arbitraire, n'ont pas une position juridique protégée leur conférant la qualité pour agir au fond sous cet angle ( ATF 133 I 185 ).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et les références). Or, si les recourants soulèvent les griefs de violation de leur droit d'être entendus et d'établissement inexact des faits relatifs en particulier au caractère effectif et continuel de leur séjour en Suisse, ces griefs ne peuvent cependant pas être séparés du fond. En effet, en cas d'admission, cela reviendrait à devoir examiner leur situation sous l'angle des art. 8 CEDH et 30 LEI, ce qui est précisément exclu.</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est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