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2C_2/2015 vom 13. August 2015</w:t>
      </w:r>
    </w:p>
    <w:p>
      <w:r>
        <w:t>Bundesgericht, 2015-08-13, DE</w:t>
      </w:r>
    </w:p>
    <w:p>
      <w:r>
        <w:rPr>
          <w:b/>
        </w:rPr>
        <w:t xml:space="preserve">Quelle: </w:t>
      </w:r>
      <w:r>
        <w:t>https://mcp.opencaselaw.ch/entscheid/bger_2C_2_2015</w:t>
      </w:r>
    </w:p>
    <w:p>
      <w:r>
        <w:t>FR: TF 2C_2/2015 du 13 août 2015</w:t>
      </w:r>
    </w:p>
    <w:p>
      <w:r>
        <w:t>IT: TF 2C_2/2015 del 13 agosto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Die Beschwerdeführerin macht geltend, eine Wiedereingliederung in die sozialen Verhältnisse in ihrem Heimatstaat sei ihr als geschiedene Frau stark erschwert, weshalb ihr gestützt auf Art. 50 Abs. 1 lit. b AuG ein Anspruch auf Verlängerung ihrer Aufenthaltsbewilligung zukomme. Die Beschwerde ist zulässig und die Beschwerdeführerin dazu legitimiert ( Art. 89 Abs. 1 BGG ). Auf die Beschwerde ist, vorbehältlich der Erfüllung der Rüge- und Begründungspflicht, einzutreten.</w:t>
      </w:r>
    </w:p>
    <w:p>
      <w:r>
        <w:t>Nicht Gegenstand des vorinstanzlichen Beschwerdeverfahrens war der prozedurale Aufenthalt der Beschwerde im Sinne der Anordnung von positiven vorsorglichen Massnahmen. Auf die Beschwerde ist in diesem Punkt nicht einzutreten, soweit damit mehr als die aufschiebende Wirkung der Beschwerde gegen das angefochtene Urteil (das die bis September 2013 gültige Bewilligung widerrufende kantonale Verfügung vom 11. Juli 2013 ersetzt) verlangt wird (vgl. zum Devolutiveffekt BGE 134 II 142 E. 1.4 S. 144 und zum Begriff des Streitgegenstandes BGE 136 II 165 E. 5 S. 174).</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1.4.1</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w:t>
      </w:r>
    </w:p>
    <w:p>
      <w:r>
        <w:rPr>
          <w:b/>
        </w:rPr>
        <w:t>E. 1.4.2</w:t>
      </w:r>
    </w:p>
    <w:p>
      <w:r>
        <w:t>Obwohl nicht ausdrücklich im Gesetz erwähnt, beruht auch eine unvollständige Sachverhaltsfeststellung auf einer Rechtsverletzung. Was</w:t>
      </w:r>
    </w:p>
    <w:p>
      <w:r>
        <w:t>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w:t>
      </w:r>
    </w:p>
    <w:p>
      <w:r>
        <w:rPr>
          <w:b/>
        </w:rPr>
        <w:t>E. 1.4.3</w:t>
      </w:r>
    </w:p>
    <w:p>
      <w:r>
        <w:t>Die dem Bundesgericht durch Art. 105 Abs. 2 BGG eingeräumte Befugnis, die Sachverhaltsfeststellung der Vorinstanz zu berichtigen oder zu ergänzen, wenn sie offensichtlich unrichtig ist oder auf einer anderen Rechtsverletzung im Sinne von Art. 95 BGG beruht, entbindet die Beschwerdeführerin nicht von ihrer Rüge- und Substanziierungspflicht ( BGE 133 IV 286 E. 6.2 S. 288). Die Beschwerdeführerin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Die Beschwerdeführerin rügt, die Vorinstanz habe mit der Nichtverlängerung der Aufenthaltsbewilligung Art. 50 Abs. 1 lit. b und Art. 50 Abs. 2 AuG verletzt. Die Vorinstanz habe zwar geprüft, ob diese Bestimmung herangezogen werden könne, indessen zu Unrecht deren Anwendbarkeit ausgeschlossen. Das Verwaltungsgericht habe es insbesondere unterlassen zu prüfen, ob die von ihrem Gatten verstossene Ehefrau in ihrem Dorf wieder einen sozialen Anschluss zu knüpfen im Stande wäre, wovon auf Grund ihrer Scheidung und ihrer Stellung als "Shakull" nicht auszugehen sei. Jegliche Unterstützung durch ihre Herkunftsfamilie werde ihr versagt bleiben. Sie habe hier in der Schweiz eine Arbeit gefunden und besuche Deutschkurse; ihr als einer wirtschaftlich unabhängigen Frau sei es nicht mehr zuzumuten, in das frauenverachtende Gesellschaftssystem des Kosovo zurückzukehren und die Rolle anzunehmen, welche einer verstossenen, geschiedenen oder vom Ehemann getrennt lebenden Frau zugeteilt werde.</w:t>
      </w:r>
    </w:p>
    <w:p>
      <w:r>
        <w:rPr>
          <w:b/>
        </w:rPr>
        <w:t>E. 2.1</w:t>
      </w:r>
    </w:p>
    <w:p>
      <w:r>
        <w:t>Die Beschwerdeführerin beruft sich auf einen Härtefall im Sinne von Art. 50 Abs. 1 lit. b und Abs. 2 AuG. Danach besteht der Bewilligungsanspruch fort, wenn "wichtige persönliche Gründe" einen weiteren Aufenthalt der betroffenen Person in der Schweiz "erforderlich" machen. Nach Art. 50 Abs. 2 AuG und der bundesgerichtlichen Rechtsprechung ( BGE 138 II 229 E. 3.1 S. 232 f.; 136 II 1 E. 5 S. 3 ff.)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müssen.</w:t>
      </w:r>
    </w:p>
    <w:p>
      <w:r>
        <w:t>Bei der Beurteilung der wichtigen persönlichen Gründe sind sämtliche Aspekte des Einzelfalles mitzuberücksichtigen ( BGE 137 II 345 E. 3.2.1 S. 348; vgl. zudem Art. 31 VZAE ); dazu gehören auch die Umstände, die zur Auflösung der Gemeinschaft geführt haben ( BGE 137 II 345 E. 3.2.3 S. 350). Hat der Aufenthalt nur kürzere Zeit gedauert und wurden keine engen Beziehungen zur Schweiz geknüpft, lässt sich ein Anspruch auf weiteren Verbleib nicht begründen, wenn die erneute Integration im Herkunftsland keine besonderen Probleme stellt (Botschaft AuG, BBl 2002 3709, 3754 Ziff. 1.3.7.6). Entscheidend ist, ob die persönliche, berufliche und familiäre Wiedereingliederung als stark gefährdet zu gelten hat und nicht, ob ein Leben in der Schweiz einfacher wäre (Urteil 2C_61/2014 vom 5. Januar 2015 E. 4.2; 2C_295/2012 vom 5. September 2012 E. 3.1; 2C_216/2009 vom 20. August 2009 E. 3). Ein persönlicher, nachehelicher Härtefall setzt aufgrund der</w:t>
      </w:r>
    </w:p>
    <w:p>
      <w:r>
        <w:t>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138 II 229 E. 3.1 S. 232 f.; 137 II 345 E. 3.2.3 S. 349 f.).</w:t>
      </w:r>
    </w:p>
    <w:p>
      <w:r>
        <w:rPr>
          <w:b/>
        </w:rPr>
        <w:t>E. 2.2</w:t>
      </w:r>
    </w:p>
    <w:p>
      <w:r>
        <w:t>Unzutreffend ist, dass die Vorinstanz die Anwendbarkeit der nachehelichen Härtefallprüfung gemäss Art. 50 Abs. 1 lit. b und Art. 50 Abs. 2 AuG geprüft, die Anwendbarkeit der Norm jedoch ausgeschlossen habe. Die Vorinstanz führt aus, ob der Beschwerdeführerin gestützt auf Art. 50 Abs. 1 lit. b AuG die Aufenthaltsbewilligung zu erteilen bzw. zu verlängern sei, beurteile sich nach dieser Norm. Anschliessend folgen Ausführungen (rechtlicher Art) zur Auslegung des unbestimmten Gesetzesbegriffs (vgl. zur Terminologie TSCHANNEN/ ZIMMERLI/MÜLLER, Allgemeines Verwaltungsrecht, 4. Aufl. 2014, S. 216, 221 ff.) der "sozialen Wiedereingliederung" als wichtigem Grund im Sinne von Art. 50 Abs. 2 AuG. Ob hingegen der Tatbestand von Art. 50 Abs. 1 lit. b AuG in tatsächlicher Hinsicht erfüllt ist, hat die Vorinstanz nicht näher geprüft, sondern den rechtserheblichen und für den Verfahrensausgang massgeblichen Sachverhalt in diesem Punkt ohne Auseinandersetzung mit den pauschalen Vorbringen der Beschwerdeführerin zur gesellschaftlichen Lage von geschiedenen Frauen im Kosovo dahingehend festgestellt, es seien</w:t>
      </w:r>
    </w:p>
    <w:p>
      <w:r>
        <w:t>keine (tatsächlichen) Anzeichen für eine starke Gefährdung der sozialen Wiedereingliederung der Beschwerdeführerin in ihrer Heimat ersichtlich. Entgegen den Ausführungen in der Beschwerdeschrift hat die Vorinstanz demnach nicht auf Grund einer unzutreffenden Rechtsanwendung (Ausschluss einer Anwendbarkeit von Art. 50 Abs. 1 lit. b und Art. 50 Abs. 2 AuG) die</w:t>
      </w:r>
    </w:p>
    <w:p>
      <w:r>
        <w:t>Rechtserheblichkeit eines Sachverhaltselements verkannt, was eine Verletzung materiellen Rechts begründen würde (vgl. oben, E. 1.4.2). Zu prüfen ist jedoch rügegemäss ( Art. 97 Abs. 1 BGG ), ob die Vorinstanz verfahrensrechtliche Bestimmungen über die Sachverhaltsfeststellung ( Art. 29 Abs. 2 BV ; Art. 90 AuG) verletzte, indem sie sich mit den allgemein gehaltenen Vorbringen der Beschwerdeführerin zur gesellschaftlichen Stellung der Frau in ihrer Heimat und den Gründen, welche Anlass zur Strafanzeige gaben, nicht auseinandersetzte, und auch keine entsprechenden Fragen an die Beschwerdeführerin richtete.</w:t>
      </w:r>
    </w:p>
    <w:p>
      <w:r>
        <w:rPr>
          <w:b/>
        </w:rPr>
        <w:t>E. 2.3</w:t>
      </w:r>
    </w:p>
    <w:p>
      <w:r>
        <w:t>Nach Art. 12 VwVG gilt im Verwaltungsverfahren des Bundes der</w:t>
      </w:r>
    </w:p>
    <w:p>
      <w:r>
        <w:t>Untersuchungsgrundsatz , wonach es Sache der Behörde und nicht der Parteien ist, den Sachverhalt festzustellen und dazu soweit nötig Beweis zu erheben (Urteil 2C_388/2008 vom 16. Dezember 2008 E. 4.1; UEBERSAX, Einreise und Anwesenheit, in: Ausländerrecht, 2009, Rz. 7.273; zur Anwendbarkeit in kantonalen Verfahren vgl. insbesondere Art. 1 Abs. 3 VwVG und das Vereitelungsverbot von materiellem Bundesrecht, BGE 128 I 254 E. 3.8.2 S. 264 f.; Urteile 2C_1130/2013 vom 23. Januar 2013 E. 2.4; 2C_61/2014 vom 5. Januar 2015 E. 3.2.1; grundlegend KÖLZ, Bundesrecht und kantonales Verwaltungsverfahrensrecht - Eine Problemübersicht, in: ZBl 79/1978 S. 421 ff.). Zur Pflicht, den Sachverhalt zu ermitteln, gehört die ("subjektive") Beweisführungslast, d.h. die Obliegenheit, den erforderlichen Beweis zu führen; diese Last fällt grundsätzlich der Behörde zu (Urteil 2C_388/2008 vom 16. Dezember 2008 E. 4.1; KRAUSKOPF/EMMENEGGER, in: Praxiskommentar zum Bundesgesetz über das Verwaltungsverfahren, 2009, N. 16, 20 ff. zu Art. 12 VwVG ). Die Parteien unterliegen allerdings in ausländerrechtlichen Bewilligungsverfahren bei der Sachverhaltsermittlung einer</w:t>
      </w:r>
    </w:p>
    <w:p>
      <w:r>
        <w:t>Mitwirkungspflicht (vgl. die spezialgesetzlich statuierte Mitwirkungspflicht gemäss Art. 90 lit. a AuG; UEBERSAX, a.a.O., N. 7.273; KRAUSKOPF/EMMENEGGER, a.a.O., N. 50 ff. zu Art. 12 VwVG ) und einer eigentlichen Beweisbeschaffungspflicht (Art. 90 lit. b AuG; Urteil 2C_471/2012 vom 18. Januar 2013 E. 4.1; Urteil 2C_81 /2011 vom 1. September 2011 E. 3.7). Diese Pflichten gelten grundsätzlich für alle Arten von Tatsachen, kommen aber vorab für jene Umstände in Frage, die eine Partei besser kennt als die Behörden und welche diese ohne die Mitwirkung der Partei gar nicht oder nicht mit vernünftigem Aufwand erheben könnten. Dabei trifft die Behörde aber eine</w:t>
      </w:r>
    </w:p>
    <w:p>
      <w:r>
        <w:t>Aufklärungspflicht , d.h. sie muss die Verfahrensbeteiligten geeignet auf die zu beweisenden Tatsachen hinweisen (Urteil 2C_388/2008 vom 16. Dezember 2008 E. 4.1; KRAUSKOPF/EMMENEGGER, a.a.O., N. 47 zu Art. 13 VwVG ; GÖKSU, in: Handkommentar zum Bundesgesetz über die Ausländerinnen und Ausländer [AuG], 2009, N. 4 zu Art. 90 AuG), und, als Korrelat zur Mitwirkungspflicht der Parteien, sind die Behörden gehalten, rechtzeitig und formrichtig angebotene Beweismittel zu rechtserheblichen Tatsachen abzunehmen ( Art. 29 Abs. 2 BV ; BGE 139 II 7 E. 4.3 S. 13 ; 124 I 241 E. 2 S. 242). Untersuchungsgrundsatz und Mitwirkungspflicht ändern hingegen an der</w:t>
      </w:r>
    </w:p>
    <w:p>
      <w:r>
        <w:t>objektiven Beweislast nichts, wonach grundsätzlich diejenige Partei die Folgen der Beweislosigkeit eines Sachumstands zu tragen hat, die daraus Vorteile ableitet (zur Anwendbarkeit von Art. 8 ZGB auf öffentlichrechtliche Verfahren vgl. BGE 140 I 285 E. 6.3.1 S. 299). Allerdings kann die Behörde nicht gestützt auf die objektive Beweislastverteilung geringere Gewissenhaftigkeit bei der Abklärung von Tatsachen walten lassen, die sich zugunsten der Verfahrenspartei auswirken. Aus der objektiven Beweislastverteilung dürfen mithin nicht Mitwirkungspflichten ("subjektive Beweisführungspflichten") abgeleitet werden, die sich nicht aus dem Gesetz oder allenfalls aus dem Grundsatz von Treu und Glauben ergeben (vgl. dazu BGE 132 II 113 E. 3.2 S. 115 f.; 130 II 449 E. 6.6.1 S. 464; Urteil 2C_388/2008 vom 16. Dezember 2008 E. 4.1).</w:t>
      </w:r>
    </w:p>
    <w:p>
      <w:r>
        <w:rPr>
          <w:b/>
        </w:rPr>
        <w:t>E. 2.4.1</w:t>
      </w:r>
    </w:p>
    <w:p>
      <w:r>
        <w:t>Die Beschwerdeführerin hat in den kantonalen Verfahren nicht geltend gemacht, Opfer ehelicher Gewalt geworden zu sein. Im bundesgerichtlichen Beschwerdeverfahren bringt sie vor, die Vorinstanz habe, indem sie die Gründe für die Einreichung einer Strafanzeige gegen ihren Ehemann nicht gebührend berücksichtigte, Art. 29 Abs. 2 BV und Art. 90 AuG verletzt.</w:t>
      </w:r>
    </w:p>
    <w:p>
      <w:r>
        <w:t>Die kantonalen Vorinstanzen wenden das Recht von Amtes wegen an ( Art. 110 BGG ). Im Sinne von Art. 50 Abs. 2 AuG (rechtlich) relevante Gewalt, welche hinzunehmen der betroffenen Person in einer freiheitlichen Gesellschaft nicht zugemutet werden darf, kann unterhalb der Schwelle strafrechtlich zu sanktionierenden Verhaltens angesiedelt sein. Die Anwendung von Art. 50 Abs. 1 lit. b AuG setzt praxisgemäss keine strafrechtliche Verurteilung voraus und wird durch die Einstellung eines entsprechenden Verfahrens nicht ausgeschlossen (vgl. die Urteile 2C_821/2011 vom 22. Juni 2012 E. 3.3.3; 2C_221/2011 vom 30. Juli 2011 E. 2 und 2C_586/2011 vom 21. Juli 2011 E. 3.2). Die Nichtanhandnahmeverfügung vom 21. Dezember 2012 war somit für die Frage, ob die Beschwerdeführerin häusliche Gewalt im Sinne von Art. 50 Abs. 2 AuG erlitten hatte, nicht (alleine) massgeblich. In sachverhaltsmässiger Hinsicht lassen sich dieser Nichtanhandnahmeverfügung, welche das gestützt auf einen</w:t>
      </w:r>
    </w:p>
    <w:p>
      <w:r>
        <w:t>einmaligen Vorfall angestrengte Strafverfahren gegen den Ehemann beendete, jedoch keine Hinweise dafür entnehmen, dass die Beschwerdeführerin durch ihren Ehemann oder dessen Familie einer systematischen Misshandlung mit dem Ziel, Macht und Kontrolle über sie auszuüben, ausgesetzt gewesen wäre. Für die Vorinstanz bestand demnach kein Anlass, in Anwendung der Untersuchungsmaxime weitere Sachverhaltsabklärungen vorzunehmen; die anwaltlich vertretene Beschwerdeführerin hätte gegebenenfalls entsprechende Hinweise in das ausländerrechtliche Bewilligungsverfahren einbringen können und, angesichts ihrer spezialgesetzlichen Mitwirkungspflicht gemäss Art. 90 lit. a und b AuG, auch müssen. Die im bundesgerichtlichen Beschwerdeverfahren erhobene Rüge, die Vorinstanz habe, indem sie die Gründe für die Einreichung einer Strafanzeige nicht gebührend berücksichtigte, Art. 29 Abs. 2 BV und Art. 90 AuG verletzt, ist unbegründet.</w:t>
      </w:r>
    </w:p>
    <w:p>
      <w:r>
        <w:rPr>
          <w:b/>
        </w:rPr>
        <w:t>E. 2.4.2</w:t>
      </w:r>
    </w:p>
    <w:p>
      <w:r>
        <w:t>Hingegen hat die Beschwerdeführerin gemäss der Aktenlage in sämtlichen kantonalen und insbesondere im vorinstanzlichen Verfahren geltend gemacht, im Falle einer Ausweisung müsste sie als geschiedene Frau in den Kosovo zurückkehren und würde dort auf Grund ihrer sozialen Stellung in diesem patriarchalischen Gesellschaftssystem keine Arbeitsstelle finden. Sie wäre somit auf die Unterstützung ihrer Herkunftsfamilie angewiesen, welche ihr auf Grund ihrer Scheidung versagt würde. Aus diesem Grund sei davon auszugehen, dass ihre soziale Wiedereingliederung im Kosovo stark erschwert wäre und ihr eine Ausreise nicht zumutbar sei.</w:t>
      </w:r>
    </w:p>
    <w:p>
      <w:r>
        <w:t>Obwohl der in den kantonalen Rechtsmittelverfahren anwaltlich vertretenen Beschwerdeführerin die Bedeutung einer starken Gefährdung ihrer sozialen Wiedereingliederung in ihrer Heimat für den Verfahrensausgang bewusst war, hat sie in diesen Verfahren über allgemein gehaltene Aussagen zum "kosovarischen Gesellschaftssystem" hinaus</w:t>
      </w:r>
    </w:p>
    <w:p>
      <w:r>
        <w:t>keine konkreten Umstände ihres Einzelfalles dafür geltend gemacht, weshalb sie als geschiedene Frau in dem sozialen, familiären und räumlichen Umfeld, in welchem sie sich nach ihrer Rückkehr in ihren Heimatstaat bewegen wird, mit besonderen Problemen der gesellschaftlichen Ächtung und Arbeitslosigkeit zu rechnen habe, und hat insbesondere</w:t>
      </w:r>
    </w:p>
    <w:p>
      <w:r>
        <w:t>keine Beweismittel eingereicht, welche eine solche Tatsachendarstellung stützen würden. Die Vorinstanz war auf Grund der offensichtlichen Rechtskundigkeit der Beschwerdeführerin und der ihr obliegenden spezialgesetzlichen Mitwirkungspflichten (Art. 90 lit. a und b AuG) weder gehalten, sie über die von ihr zu beweisenden Tatsachen zu unterrichten, noch weitere Sachverhaltsabklärungen zu den spezifischen Lebensumständen der Beschwerdeführerin in ihrem Heimatstaat zu treffen. Der in Anwendung der Regeln über die objektive Beweislastverteilung ( Art. 8 ZGB ) von der Vorinstanz gezogene Schluss auf das Fehlen solcher Anzeichen für eine starke Gefährdung der sozialen Wiedereingliederung der Beschwerdeführerin ist nicht zu beanstanden und verletzt weder Art. 29 Abs. 2 BV noch Art. 90 AuG.</w:t>
      </w:r>
    </w:p>
    <w:p>
      <w:r>
        <w:rPr>
          <w:b/>
        </w:rPr>
        <w:t>E. 3</w:t>
      </w:r>
    </w:p>
    <w:p>
      <w:r>
        <w:t>Die Beschwerde erweist sich als unbegründet und ist abzuweisen. Angesichts dieses Verfahrensausgangs werden die Gerichtskosten der Beschwerdeführerin auferlegt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