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2C_29/2023 vom 20. Januar 2023</w:t>
      </w:r>
    </w:p>
    <w:p>
      <w:r>
        <w:t>Bundesgericht, 2023-01-20, DE</w:t>
      </w:r>
    </w:p>
    <w:p>
      <w:r>
        <w:rPr>
          <w:b/>
        </w:rPr>
        <w:t xml:space="preserve">Quelle: </w:t>
      </w:r>
      <w:r>
        <w:t>https://mcp.opencaselaw.ch/entscheid/bger_2C_29_2023</w:t>
      </w:r>
    </w:p>
    <w:p>
      <w:r>
        <w:t>FR: TF 2C_29/2023 du 20 janvier 2023</w:t>
      </w:r>
    </w:p>
    <w:p>
      <w:r>
        <w:t>IT: TF 2C_29/2023 del 20 gennaio 2023</w:t>
      </w:r>
    </w:p>
    <w:p>
      <w:pPr>
        <w:pStyle w:val="Heading2"/>
      </w:pPr>
      <w:r>
        <w:t>Erwägungen</w:t>
      </w:r>
    </w:p>
    <w:p>
      <w:r>
        <w:rPr>
          <w:b/>
        </w:rPr>
        <w:t>E. 1.1</w:t>
      </w:r>
    </w:p>
    <w:p>
      <w:r>
        <w:t>Am 14. September 2022 meldete sich A.________ (geb. 1998) bei der Kantonalen Notrufzentrale St. Gallen und teilte mit, dass er einen körperlichen Zwang melden wolle bzw. Schwierigkeiten mit seinem Vater habe. Die ausgerückten Polizeibeamten beurteilten ihn als problematische, leicht reizbare und sehr emotionale Person.</w:t>
      </w:r>
    </w:p>
    <w:p>
      <w:r>
        <w:t>Am 4. Oktober 2022 teilte die Kantonspolizei St. Gallen dem Militär-Kreiskommando St. Gallen mit, die zuständige Fachstelle sei zur Ansicht gelangt, dass ein möglicher Missbrauch der persönlichen Waffe durch A.________ nicht auszuschliessen sei.</w:t>
      </w:r>
    </w:p>
    <w:p>
      <w:r>
        <w:t>Am 6. Oktober 2022 verfügte das Kreiskommando, Amt für Militär und Zivilschutz, den vorläufigen Entzug der persönlichen Dienstwaffe und der Leihwaffe von A.________, verbunden mit der Aufforderung, diese beiden Armeewaffen bis spätestens 14. Oktober 2022 in der Retablierungsstelle St. Gallen oder bei der Kantonspolizei St. Gallen abzugeben. Zudem verfügte es für den Unterlassungsfall den polizeilichen Einzug der Waffen und ordnete die sofortige Vollstreckbarkeit der Verfügung an.</w:t>
      </w:r>
    </w:p>
    <w:p>
      <w:r>
        <w:rPr>
          <w:b/>
        </w:rPr>
        <w:t>E. 1.2</w:t>
      </w:r>
    </w:p>
    <w:p>
      <w:r>
        <w:t>Dagegen erhob A.________ Rekurs an das Sicherheits- und Justizdepartement des Kantons St. Gallen und beantragte unter anderem sinngemäss die Wiederherstellung der aufschiebenden Wirkung.</w:t>
      </w:r>
    </w:p>
    <w:p>
      <w:r>
        <w:t>Mit Verfügung vom 13. Oktober 2022 lehnte das Sicherheits- und Justizdepartement den Antrag auf Wiederherstellung der aufschiebenden Wirkung ab, mit der Begründung, dass konkrete Anzeichen einer Selbst- oder Drittgefährdung mit der persönlichen Waffe oder deren Missbrauch bestünden.</w:t>
      </w:r>
    </w:p>
    <w:p>
      <w:r>
        <w:t>Eine dagegen erhobene Beschwerde wies das Verwaltungsgericht des Kantons St. Gallen, Abteilung II, mit Verfügung der Abteilungspräsidentin vom 7. Dezember 2022 ab.</w:t>
      </w:r>
    </w:p>
    <w:p>
      <w:r>
        <w:rPr>
          <w:b/>
        </w:rPr>
        <w:t>E. 1.3</w:t>
      </w:r>
    </w:p>
    <w:p>
      <w:r>
        <w:t>A.________ gelangt mit Beschwerde vom 16. Januar 2023 (Postaufgabe) an das Bundesgericht und beantragt sinngemäss die Aufhebung der angefochtenen Verfügung und die Rückweisung der Sache an die kantonalen Instanzen. Zudem ersucht er um aufschiebende Wirkung in dem Sinne, dass seine Waffen nicht abzuholen bzw. bereits abgeholte Waffen ihm zurückzugeben seien. Ferner stellt er einen Antrag um Befreiung vom Kostenvorschuss.</w:t>
      </w:r>
    </w:p>
    <w:p>
      <w:r>
        <w:t>Es wurden keine Instruktionsmassnahmen angeordnet.</w:t>
      </w:r>
    </w:p>
    <w:p>
      <w:r>
        <w:rPr>
          <w:b/>
        </w:rPr>
        <w:t>E. 2.1</w:t>
      </w:r>
    </w:p>
    <w:p>
      <w:r>
        <w:t>Die angefochtene Verfügung hat einzig die Nichtwiederherstellung der aufschiebenden Wirkung im Rekursverfahren vor dem Sicherheits- und Justizdepartement zum Gegenstand. Sie schliesst das Verfahren nicht ab und stellt somit keinen Endentscheid ( Art. 90 BGG ), sondern einen Zwischenentscheid über vorsorgliche Massnahmen im Sinne von Art. 93 BGG dar (vgl. Urteil 2C_990/2017 vom 6. August 2018 E. 1.1 und 1.2 mit Hinweisen).</w:t>
      </w:r>
    </w:p>
    <w:p>
      <w:r>
        <w:t>Dagegen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2.2</w:t>
      </w:r>
    </w:p>
    <w:p>
      <w:r>
        <w:t>Der Beschwerdeführer bringt vor, er sei Offizier der Schweizer Armee und Mitglied in einem Schützenverein. Die Wegnahme der Waffen beeinträchtige seine militärische Karriere. Zudem müsse er in den Kadervorkurs bzw. in den Wiederholungskurs einrücken und würde ohne Waffe jegliche Autorität bei den Untergebenen verlieren. Schliesslich brauche er die Waffen, um sich im Falle einer Mobilmachung verteidigen zu können.</w:t>
      </w:r>
    </w:p>
    <w:p>
      <w:r>
        <w:t>Mit diesen Ausführungen gelingt es dem Beschwerdeführer nicht darzutun, dass ihm durch die Nichtwiederherstellung der aufschiebenden Wirkung während des Rekursverfahrens vor dem Sicherheits- und Justizdepartement ein nicht wiederguzumachender Nachteil im Sinne der dargelegten Rechtsprechung droht (vgl. E. 2.1 hiervor). Ein solcher Nachteil ist auch nicht offensichtlich. Damit ist die Voraussetzung von Art. 93 Abs. 1 lit. a BGG nicht erfüllt.</w:t>
      </w:r>
    </w:p>
    <w:p>
      <w:r>
        <w:rPr>
          <w:b/>
        </w:rPr>
        <w:t>E. 2.3</w:t>
      </w:r>
    </w:p>
    <w:p>
      <w:r>
        <w:t>Auf die offensichtlich unzulässige Beschwerde ist mit Urteil der Abteilungspräsidentin als Einzelrichterin im Verfahren nach Art. 108 Abs. 1 (lit. a) nicht einzutreten. Mit diesem Entscheid wird das Gesuch um aufschiebende Wirkung für das bundesgerichtliche Verfahren gegenstandslos.</w:t>
      </w:r>
    </w:p>
    <w:p>
      <w:r>
        <w:rPr>
          <w:b/>
        </w:rPr>
        <w:t>E. 3</w:t>
      </w:r>
    </w:p>
    <w:p>
      <w:r>
        <w:t>Auf die Erhebung von Gerichtskosten wird umständehalber verzichtet ( Art. 66 Abs. 1 Satz 2 BGG ). Das Gesuch des anwaltlich nicht vertretenen Beschwerdeführers um unentgeltliche Rechtspflege ( Art. 64 BGG ) ist damit gegenstandslos.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