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297/2021 vom 29. April 2021</w:t>
      </w:r>
    </w:p>
    <w:p>
      <w:r>
        <w:t>Bundesgericht, 2021-04-29, DE</w:t>
      </w:r>
    </w:p>
    <w:p>
      <w:r>
        <w:rPr>
          <w:b/>
        </w:rPr>
        <w:t xml:space="preserve">Quelle: </w:t>
      </w:r>
      <w:r>
        <w:t>https://mcp.opencaselaw.ch/entscheid/bger_2C_297_2021</w:t>
      </w:r>
    </w:p>
    <w:p>
      <w:r>
        <w:t>FR: TF 2C 297/2021 du 29 avril 2021</w:t>
      </w:r>
    </w:p>
    <w:p>
      <w:r>
        <w:t>IT: TF 2C 297/2021 del 29 aprile 2021</w:t>
      </w:r>
    </w:p>
    <w:p>
      <w:pPr>
        <w:pStyle w:val="Heading2"/>
      </w:pPr>
      <w:r>
        <w:t>Regeste</w:t>
      </w:r>
    </w:p>
    <w:p>
      <w:r>
        <w:t>Widerruf der Aufenthaltsbewilligung und Wegweisung aus der Schweiz | Bürgerrecht und Ausländerrecht</w:t>
      </w:r>
    </w:p>
    <w:p>
      <w:pPr>
        <w:pStyle w:val="Heading2"/>
      </w:pPr>
      <w:r>
        <w:t>Erwägungen</w:t>
      </w:r>
    </w:p>
    <w:p>
      <w:r>
        <w:rPr>
          <w:b/>
        </w:rPr>
        <w:t>E. 1</w:t>
      </w:r>
    </w:p>
    <w:p>
      <w:r>
        <w:t>Nach Art. 83 lit. c Ziff. 2 BGG ist die Beschwerde in öffentlich-rechtlichen Angelegenheiten ausgeschlossen, wenn eine Bewilligung in Frage steht, auf die weder das Bundesrecht noch das Völkerrecht einen Anspruch einräumen. Wie die Vorinstanz für das Bundesgericht verbindlich festgestellt hat, ist die Ehe zwischen dem Beschwerdeführer und B.________ seit dem 2. Juni 2020 geschieden (vgl. E. 5.4 des angefochtenen Entscheids). Der Beschwerdeführer kann sich damit - entgegen der in der Beschwerde geäusserten Auffassung - grundsätzlich nicht mehr auf das Abkommen zwischen der Schweizerischen Eidgenossenschaft einerseits und der Europäischen Gemeinschaft und ihren Mitgliedstaaten andererseits über die Freizügigkeit vom 21. Juni 1999 (FZA; SR 0.142.112.681) berufen, um einen Aufenthaltsanspruch zu begründen. Da die Ex-Ehefrau des Beschwerdeführers über die Niederlassungsbewilligung verfügt, kann er einen potenziellen Bewilligungsanspruch jedoch - wie in der Beschwerde geltend gemacht - aus Art. 50 Abs. 1 lit. a AIG ableiten ( BGE 144 II 1 E. 4.3). Auf die form- und fristgerecht eingereichte Beschwerde (Art. 42, Abs. 100 Abs. 1 BGG) des hierzu legitimierten Beschwerdeführers ( Art. 89 Abs. 1 BGG ) ist daher einzutreten ( Art. 82 lit. a, Art. 86 Abs. 1 lit. d und Abs. 2, Art. 90 BGG ).</w:t>
      </w:r>
    </w:p>
    <w:p>
      <w:r>
        <w:rPr>
          <w:b/>
        </w:rPr>
        <w:t>E. 2.1</w:t>
      </w:r>
    </w:p>
    <w:p>
      <w:r>
        <w:t>Mit der Beschwerde in öffentlich-rechtlichen Angelegenheiten kann u.a. die Verletzung von Bundesrecht gerügt werden ( Art. 95 lit. a und b BGG ). Das Bundesgericht wendet das Recht von Amtes wegen an ( Art. 106 Abs. 1 BGG ). Unter Berücksichtigung der allgemeinen Begründungspflicht der Parteien ( Art. 42 BGG ) prüft es jedoch nur die vorgebrachten Rügen, sofern die rechtlichen Mängel nicht geradezu ins Auge springen ( BGE 144 V 388 E. 2; 133 II 249 E. 1.4.1).</w:t>
      </w:r>
    </w:p>
    <w:p>
      <w:r>
        <w:rPr>
          <w:b/>
        </w:rPr>
        <w:t>E. 2.2</w:t>
      </w:r>
    </w:p>
    <w:p>
      <w:r>
        <w:t>Seinem Urteil legt das Bundesgericht den von der Vorinstanz festgestellten Sachverhalt zu 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Zur Sachverhaltsfeststellung gehört auch die auf Indizien gestützte Beweiswürdigung. Die Sachverhaltsfeststellung bzw. Beweiswürdigung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Urteil 2C_310/2014 vom 25. November 2014 E. 1.2). Eine entsprechende Rüge ist substanziiert vorzubringen; auf rein appellatorische Kritik an der Sachverhaltsdarstellung bzw. Beweiswürdigung der Vorinstanz geht das Gericht nicht ein ( BGE 140 III 264 E. 2.3; 139 II 404 E. 10.1).</w:t>
      </w:r>
    </w:p>
    <w:p>
      <w:r>
        <w:rPr>
          <w:b/>
        </w:rPr>
        <w:t>E. 3.1</w:t>
      </w:r>
    </w:p>
    <w:p>
      <w:r>
        <w:t>Nach Art. 50 Abs. 1 lit. a AIG besteht der Anspruch des Ehegatten auf Erteilung und Verlängerung der Aufenthaltsbewilligung nach den Artikeln 42 und 43 AIG fort, wenn die Ehegemeinschaft mindestens drei Jahre bestanden hat und die Integrationskriterien nach Art. 58a AIG erfüllt sind. Für die Berechnung der dreijährigen Frist gemäss Art. 50 Abs. 1 lit. a AIG ist auf die in der Schweiz gelebte Ehegemeinschaft abzustellen ( BGE 140 II 345 E. 4.1; 140 II 289 E. 3.5.1; 136 II 113 E. 3.3). Massgeblicher Zeitpunkt für die retrospektive Berechnung der Dauer der ehelichen Gemeinschaft ist in der Regel die Aufgabe der Haushaltsgemeinschaft ( BGE 136 II 113 E. 3.2). Eine (relevante) Ehegemeinschaft liegt vor, solange die eheliche Beziehung tatsächlich gelebt wird und ein gegenseitiger Ehewille besteht ( BGE 138 II 229 E. 2). Mehrere Phasen des Zusammenlebens, unterbrochen durch Trennungsphasen, können bei der Berechnung der Dreijahresfrist addiert werden, sofern die ernsthafte Weiterführung der Ehegemeinschaft noch beabsichtigt wird (vgl. BGE 140 II 345 E. 4.5.2 mit Hinweisen). Die Frist nach Art. 50 Abs. 1 lit. a AIG gilt absolut; bereits das Fehlen weniger Wochen oder Tage schliesst den Anspruch auf Verlängerung der Aufenthaltsbewilligung aus (Urteil 2C_281/2017 vom 26. März 2018 E.2.2 mit Hinweisen).</w:t>
      </w:r>
    </w:p>
    <w:p>
      <w:r>
        <w:rPr>
          <w:b/>
        </w:rPr>
        <w:t>E. 3.2</w:t>
      </w:r>
    </w:p>
    <w:p>
      <w:r>
        <w:t>Vorliegend hat die Vorinstanz festgestellt, dass der Beschwerdeführer seine heutige Freundin C.________ im September 2016 kennengelernt habe und daraus eine Liebesgeschichte entstanden sei (E. 5.8.4 des angefochtenen Entscheids). Ab diesem Zeitpunkt hätten keine gemeinsamen Freizeitaktivitäten zwischen dem Beschwerdeführer und seiner Ex-Ehefrau mehr stattgefunden, und es bestünden auch keinerlei anderweitige Anhaltspunkte dafür, dass die Ehe tatsächlich noch gelebt worden sei oder zumindest Bemühungen zu ihrer Rettung unternommen worden wären. In wirtschaftlicher Hinsicht habe schon seit April 2015 keine Verbundenheit zwischen den Ehegatten mehr bestanden (E. 5.8.5 des angefochtenen Entscheids). Spätestens ab September 2016 habe jedenfalls vonseiten des Beschwerdeführers kein Ehewille mehr bestanden; die Dreijahresfrist, die am 23. Januar 2017 geendet habe, sei somit vorliegend nicht erfüllt, so dass ein Aufenthaltsanspruch nach Art. 50 Abs. 1 lit. a AIG nicht in Frage komme.</w:t>
      </w:r>
    </w:p>
    <w:p>
      <w:r>
        <w:rPr>
          <w:b/>
        </w:rPr>
        <w:t>E. 3.3</w:t>
      </w:r>
    </w:p>
    <w:p>
      <w:r>
        <w:t>Die sachverhaltsbezogenen Erwägungen der Vorinstanz sind ausführlich ausgefallen. Sie vermögen sich auf ein ganzes Netz von Indizien und - nachdem die Vorinstanz den Beschwerdeführer und seine Ex-Ehefrau als Zeugen befragt hat - auch auf den persönlichen Eindruck der vorinstanzlichen Richterinnen und Richter abzustützen. Entgegen der in der Beschwerde geäusserten Auffassung bestehen keinerlei Anhaltspunkte dafür, dass die Vorinstanz bei der Feststellung der massgeblichen Tatsachen in Willkür verfallen wäre (vgl. zu diesem Massstab E. 2.2 hiervor). Die Beschwerdeausführungen, die sich mit den ausführlichen Erwägungen der Vorinstanz nicht substanziiert auseinandersetzen, müssen weitgehend als appellatorisch bezeichnet werden. Mit der Vorinstanz ist vorliegend davon auszugehen, dass die Dreijahresfrist von Art. 50 Abs. 1 lit. a AIG vorliegend nicht erreicht worden ist. Vor diesem Hintergrund kann offen bleiben, ob im Falle des Beschwerdeführers von einer gelungenen Integration auszugehen ist.</w:t>
      </w:r>
    </w:p>
    <w:p>
      <w:r>
        <w:rPr>
          <w:b/>
        </w:rPr>
        <w:t>E. 3.4</w:t>
      </w:r>
    </w:p>
    <w:p>
      <w:r>
        <w:t>Die Beschwerde erweist sich nach den vorstehenden Erwägungen als offensichtlich unbegründet ( Art. 109 Abs. 2 lit. a BGG ); sie ist abzuweisen.</w:t>
      </w:r>
    </w:p>
    <w:p>
      <w:r>
        <w:rPr>
          <w:b/>
        </w:rPr>
        <w:t>E. 4</w:t>
      </w:r>
    </w:p>
    <w:p>
      <w:r>
        <w:t>Dem prozessualen Antrag des Beschwerdeführers, ihm die unentgeltliche Rechtspflege zu gewähren kann nicht stattgegeben werden, zumal seine materiellen Anträge im Lichte ihrer Begründung als aussichtslos erscheinen ( Art. 64 Abs. 1 BGG ); aus demselben Grunde ausgeschlossen ist die beantragte Beiordnung eines amtlichen Rechtsbeistands ( Art. 64 Abs. 2 BGG ).</w:t>
      </w:r>
    </w:p>
    <w:p>
      <w:r>
        <w:rPr>
          <w:b/>
        </w:rPr>
        <w:t>E. 5</w:t>
      </w:r>
    </w:p>
    <w:p>
      <w:r>
        <w:t>Die Verfahrenskosten sind nach dem oben Ausgeführten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