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2C_296/2018 vom 6. Juni 2018</w:t>
      </w:r>
    </w:p>
    <w:p>
      <w:r>
        <w:t>Bundesgericht, 2018-06-06, DE</w:t>
      </w:r>
    </w:p>
    <w:p>
      <w:r>
        <w:rPr>
          <w:b/>
        </w:rPr>
        <w:t xml:space="preserve">Quelle: </w:t>
      </w:r>
      <w:r>
        <w:t>https://mcp.opencaselaw.ch/entscheid/bger_2C_296_2018</w:t>
      </w:r>
    </w:p>
    <w:p>
      <w:r>
        <w:t>FR: TF 2C_296/2018 du 6 juin 2018</w:t>
      </w:r>
    </w:p>
    <w:p>
      <w:r>
        <w:t>IT: TF 2C_296/2018 del 6 giugno 2018</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in Verbindung mit Art. 73 StHG [SR 642.14]). Auf die Beschwerde ist einzutreten.</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143 IV 500 E. 1.1 S. 503). Zu den tatsächlichen Feststellungen zählt auch die Beweiswürdigung ( BGE 143 IV 241 E. 2.3.3 S. 245). Das Bundesgericht kann die tatsächlichen Feststellungen der Vorinstanz nur berichtigen oder ergänzen ( BGE 143 II 409 E. 4.4.3 S. 417 f.), soweit sie offensichtlich unrichtig - das heisst willkürlich - sind oder auf einer anderen Rechtsverletzung im Sinne von Art. 95 BGG beruhen ( Art. 105 Abs. 2 BGG ; BGE 143 IV 241 E. 2.3.1 S. 244). Auf Kritik an den tatsächlichen Feststellungen der Vorinstanz, die den Anforderungen von Art. 106 Abs. 2 BGG (vorne E. 1.3) nicht genügt, geht das Bundesgericht nicht ein ( Art. 97 Abs. 1 BGG ; BGE 143 V 19 E. 2.2 S. 23).</w:t>
      </w:r>
    </w:p>
    <w:p>
      <w:r>
        <w:rPr>
          <w:b/>
        </w:rPr>
        <w:t>E. 2.1</w:t>
      </w:r>
    </w:p>
    <w:p>
      <w:r>
        <w:t>Streitig und zu prüfen ist zur Steuerperiode 2015 die bundesrechtliche Rechtsfrage nach der persönlichen Zugehörigkeit bzw. dem (Haupt-) Steuerdomizil der Steuerpflichtigen. Hierzu ist die reiche bundesgerichtliche Rechtsprechung in Erinnerung zu rufen.</w:t>
      </w:r>
    </w:p>
    <w:p>
      <w:r>
        <w:rPr>
          <w:b/>
        </w:rPr>
        <w:t>E. 2.2.1</w:t>
      </w:r>
    </w:p>
    <w:p>
      <w:r>
        <w:t>Der steuerrechtliche Wohnsitz einer unselbständig erwerbenden Person ist grundsätzlich der Ort, wo sie sich mit der Absicht dauernden Verbleibens aufhält. Der</w:t>
      </w:r>
    </w:p>
    <w:p>
      <w:r>
        <w:t>steuerrechtliche Mittelpunkt der Lebensinteressen bestimmt sich nach der Gesamtheit der objektiven, äusseren Umstände, aus denen diese Interessen abgeleitet werden können. Dies bedingt eine sorgfältige Berücksichtigung und Gewichtung sämtlicher Berufs-, Familien- und Lebensumstände. Der steuerrechtliche Wohnsitz ist insofern nicht frei wählbar, als es auf den</w:t>
      </w:r>
    </w:p>
    <w:p>
      <w:r>
        <w:t>gefühlsmässigen Lebensmittelpunkt nicht ankommt. Dies gilt sowohl harmonisierungs- ( Art. 3 Abs. 2 StHG ; BGE 138 II 300 E. 3.2 S. 305 f.) als auch doppelbesteuerungsrechtlich ( Art. 127 Abs. 3 BV ; BGE 132 I 29 E. 4.1 S. 36; zum Ganzen: Urteil 2C_270/2012 vom 1. Dezember 2012 E. 2.4).</w:t>
      </w:r>
    </w:p>
    <w:p>
      <w:r>
        <w:rPr>
          <w:b/>
        </w:rPr>
        <w:t>E. 2.2.2</w:t>
      </w:r>
    </w:p>
    <w:p>
      <w:r>
        <w:t>Die bundesgerichtliche Praxis hat zu diesen Grundsätzen typische Fallkonstellationen entwickelt. Bei einer</w:t>
      </w:r>
    </w:p>
    <w:p>
      <w:r>
        <w:t>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keine leitende Stellung einnimmt ( BGE 132 I 29 E. 4.2 S. 37) und täglich ("Pendler") oder regelmässig an den Wochenenden ("Wochenaufenthalter") an den Familienort zurückkehrt (zum Ganzen: Urteil 2C_580/2017 vom 16. März 2018 E. 4.2). Dasselbe gilt an sich auch, wenn es sich um eine</w:t>
      </w:r>
    </w:p>
    <w:p>
      <w:r>
        <w:t>unverheiratete Person handelt, die sowohl zum Arbeits- wie zum Familienort Beziehungen unterhält. Als Familie gelten diesfalls die Eltern und Geschwister ( BGE 113 Ia 465 E. 4b S. 467). Da die Bindung zur elterlichen Familie gemeinhin aber lockerer ausfällt als jene unter Ehegatten, stellt die Praxis erhöhte Anforderungen.</w:t>
      </w:r>
    </w:p>
    <w:p>
      <w:r>
        <w:rPr>
          <w:b/>
        </w:rPr>
        <w:t>E. 2.2.3</w:t>
      </w:r>
    </w:p>
    <w:p>
      <w:r>
        <w:t>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und gegebenenfalls persönlichen und gesellschaftlichen Beziehungen zu diesem Ort unterhält (dazu wiederum Urteil 2C_270/2012 vom 1. Dezember 2012 E. 2.5).</w:t>
      </w:r>
    </w:p>
    <w:p>
      <w:r>
        <w:rPr>
          <w:b/>
        </w:rPr>
        <w:t>E. 2.3.1</w:t>
      </w:r>
    </w:p>
    <w:p>
      <w:r>
        <w:t>Nach den für das Bundesgericht verbindlichen Feststellungen der Vorinstanz ( Art. 105 Abs. 1 BGG ; vorne E. 2.4) qualifiziert die unverheiratete Steuerpflichtige im Sinne der bundesgerichtlichen Praxis zum Verbot der interkantonalen Doppelbesteuerung ( Art. 127 Abs. 3 BV ) als unselbständig erwerbende Person, die keine leitende Stellung bekleidet. Sie ist über dreissigjährig und hält sich, mit geringfügigem Unterbruch, aus beruflichen Gründen seit bald zehn Jahren im Kanton Zürich auf. Dort bewohnt sie eine selber möblierte Mietwohnung. Mit Blick auf die Rechtslage, welche die Vorinstanz zutreffend darlegt, greift grundsätzlich die natürliche Vermutung, wonach der</w:t>
      </w:r>
    </w:p>
    <w:p>
      <w:r>
        <w:t>steuerrechtliche Lebensmittelpunkt am Ort der Arbeit bzw. des Wochenaufenthalts liegt.</w:t>
      </w:r>
    </w:p>
    <w:p>
      <w:r>
        <w:rPr>
          <w:b/>
        </w:rPr>
        <w:t>E. 2.3.2</w:t>
      </w:r>
    </w:p>
    <w:p>
      <w:r>
        <w:t>Die kantonalen Instanzen haben die näheren Umstände abgeklärt. Sie haben namentlich Strom- und Telefonabrechnungen, Bankauszüge sowie die Agenda ausgewertet (Sachverhalt lit. B). Ferner haben sie Bestätigungen der Eltern, der Präsidentin des örtlichen Samaritervereins und des örtlichen Tambouren- und Pfeifenvereins gewürdigt. Zusammenfassend haben sie erwogen, es sei unstreitig, dass die Steuerpflichtige weiterhin Beziehungen zum Familienort unterhalte, es sei jedoch nicht hinreichend nachgewiesen, "dass diese Beziehungen die jahrelangen Bezüge [zum Kanton Zürich] aufzuwiegen vermögen". Am Ort des Wochenaufenthalts habe sie sich während des überwiegenden Teils der Woche aufgehalten, gearbeitet und eine eigene Wohnung angemietet. Der regelmässige Aufenthalt am Arbeitsort ergebe sich auch aus den Strom- und Heizungskosten, "zumal der dort dokumentierte Verbrauch nicht derart tief ist, als dass eine überwiegende Abwesenheit zu vermuten wäre". Die Steuerpflichtige habe sich nur an etwas mehr als der Hälfte der Wochenenden nachweislich im Wallis aufgehalten, wobei grösstenteils unklar sei, ob sie tatsächlich an den Familienort gereist sei (Sachverhalt lit. C).</w:t>
      </w:r>
    </w:p>
    <w:p>
      <w:r>
        <w:rPr>
          <w:b/>
        </w:rPr>
        <w:t>E. 2.3.3</w:t>
      </w:r>
    </w:p>
    <w:p>
      <w:r>
        <w:t>Bei diesen Erwägungen handelt es sich um die Würdigung der Beweise (vorne E. 1.4), was bedeutet, dass die von der Steuerpflichtigen erhobene Kritik den erhöhten gesetzlichen Anforderungen (vorne E. 1.3 und 1.4) zu genügen hat, damit sie vom Bundesgericht gehört werden kann. Sie hätte namentlich vorzutragen, dass und inwiefern die Beweiswürdigung willkürlich ausgefallen sei. Willkür in der Beweiswürdigung ( Art. 9 BV ) liegt praxisgemäss aber nur vor, wenn die vorinstanzliche Beweiswürdigung schlechterdings unhaltbar ist, wenn die Behörde in ihrem Entscheid also von Tatsachen ausgeht, die mit der tatsächlichen Situation in klarem Widerspruch stehen oder auf einem offenkundigen Fehler beruhen. Dass eine andere Lösung ebenfalls möglich erscheint, genügt nicht (BGE 143 IV E. 2.3.1 S. 244).</w:t>
      </w:r>
    </w:p>
    <w:p>
      <w:r>
        <w:rPr>
          <w:b/>
        </w:rPr>
        <w:t>E. 2.3.4</w:t>
      </w:r>
    </w:p>
    <w:p>
      <w:r>
        <w:t>Der Steuerpflichtigen ist insoweit zuzustimmen, als sie sinngemäss geltend macht, die natürliche Vermutung lasse sich auch dadurch beseitigen, wenn nicht restlos jedes Wochenende am Familienort verbracht werde. Entsprechend hat die Vorinstanz bundesrechtskonform untersucht, ob dies auf die grosse Mehrheit der Wochenenden zutreffe. Dies ist insofern von Belang, als der steuerrechtliche Wohnsitzbegriff an äusserlich wahrnehmbaren Umständen anknüpfen muss, ansonsten keine Gewähr für eine schweizweit einheitliche Praxis bestünde. Die Steuerpflichtige bringt deutlich zum Ausdruck, dass sie auch nach längerer beruflicher Abwesenheit im Wallis verwurzelt sei und ohnehin beabsichtige, Ende 2018 heimzukehren. Was sie der vorinstanzlichen Beweiswürdigung entgegensetzt, vermag diese aber nicht als willkürlich darzustellen. Von den Aktivitäten in Vereinen und Organisationen hat die Vorinstanz bereits Kenntnis genommen, ebenso von der Beweisofferte, bei "x-beliebigen Personen" im Dorf Erkundigungen einzuziehen. Der Hinweis auf die Teilnahme an einem kommunalen Workshop (19. November 2016) und dem örtlichen Putztag (29. April 2017) sowie an politischen Anlässen lässt keinen Schluss zu, die Steuerpflichtige suche grossmehrheitlich in ihrer Freizeit den Familienort auf. Was schliesslich die kurze - nicht unterzeichnete - Bestätigung der Gemeinde U.________/VS vom 7. März 2018 betrifft, stellt diese ein unzulässiges echtes Novum dar ( Art. 99 Abs. 1 BGG ; BGE 137 V 446 E. 6.2.3 S. 451). Die Bestätigung hat unbeachtet zu bleiben.</w:t>
      </w:r>
    </w:p>
    <w:p>
      <w:r>
        <w:rPr>
          <w:b/>
        </w:rPr>
        <w:t>E. 2.3.5</w:t>
      </w:r>
    </w:p>
    <w:p>
      <w:r>
        <w:t>Mit Blick auf die vorinstanzliche Beweiswürdigung, die mangels hinreichender Anfechtung für das Bundesgericht verbindlich ist, durfte die Vorinstanz verfassungsrechtlich haltbar davon ausgehen, dass die gewürdigten Sachverhaltselemente insgesamt für einen steuerrechtlichen Lebensmittelpunkt im Kanton Zürich sprechen. Es fällt immerhin auf, dass die Vorinstanz keinerlei Beziehungen persönlicher und/oder gesellschaftlicher Natur zum Arbeitsort aufzeigt, die über die wirtschaftlichen Tätigkeiten hinausreichen. Der Umstand, dass die Wohnung auch nach Beendigung der Anstellung beibehalten wurde, vermag für sich allein keinen Ausschlag zu geben. Insofern ist nicht von der Hand zu weisen, dass sich die Steuerpflichtige wohl ausschliesslich zum Broterwerb im Kanton Zürich aufhält. Es ist denn auch nachvollziehbar, dass sie ihren</w:t>
      </w:r>
    </w:p>
    <w:p>
      <w:r>
        <w:t>gefühlsmässigen Lebensmittelpunkt am Familienort (bzw. zumindest im Kanton Wallis) beibehalten hat. Wenn die Steuerpflichtige auch den grösseren Teil der Wochenenden am Familienort zubringt, genügt dies angesichts des Alters und des langjährigen Aufenthalts am Arbeitsort nicht, um die natürliche Vermutung zu beseitigen. Auch unter Berücksichtigung dessen, dass eher ein Grenzfall vorliegt, reichen die gegenläufigen äusserlich wahrnehmbaren Umstände nicht aus, um von einem</w:t>
      </w:r>
    </w:p>
    <w:p>
      <w:r>
        <w:t>steuerrechtlichen Wohnsitz am Familienort auszugehen.</w:t>
      </w:r>
    </w:p>
    <w:p>
      <w:r>
        <w:rPr>
          <w:b/>
        </w:rPr>
        <w:t>E. 2.4</w:t>
      </w:r>
    </w:p>
    <w:p>
      <w:r>
        <w:t>Der angefochtene Entscheid erweist sich als bundesrechtskonform und willkürfrei. Die Steuerpflichtige war in der Steuerperiode 2015 im Kanton Zürich persönlich zugehörig. Die Beschwerde ist daher unbegründet und abzuweisen.</w:t>
      </w:r>
    </w:p>
    <w:p>
      <w:r>
        <w:rPr>
          <w:b/>
        </w:rPr>
        <w:t>E. 3</w:t>
      </w:r>
    </w:p>
    <w:p>
      <w:r>
        <w:t>Nach dem Unterliegerprinzip ( Art. 66 Abs. 1 Satz 1 BGG ) trägt die Steuerpflichtige die Kosten des bundesgerichtlichen Verfahrens.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