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2C_295/2011 vom 30. August 2011</w:t>
      </w:r>
    </w:p>
    <w:p>
      <w:r>
        <w:t>Bundesgericht, 2011-08-30, FR</w:t>
      </w:r>
    </w:p>
    <w:p>
      <w:r>
        <w:rPr>
          <w:b/>
        </w:rPr>
        <w:t xml:space="preserve">Quelle: </w:t>
      </w:r>
      <w:r>
        <w:t>https://mcp.opencaselaw.ch/entscheid/bger_2C_295_2011</w:t>
      </w:r>
    </w:p>
    <w:p>
      <w:r>
        <w:t>FR: TF 2C_295/2011 du 30 août 2011</w:t>
      </w:r>
    </w:p>
    <w:p>
      <w:r>
        <w:t>IT: TF 2C_295/2011 del 30 agosto 2011</w:t>
      </w:r>
    </w:p>
    <w:p>
      <w:pPr>
        <w:pStyle w:val="Heading2"/>
      </w:pPr>
      <w:r>
        <w:t>Erwägungen</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 ATF 136 II 177 consid. 1.1 p. 179).</w:t>
      </w:r>
    </w:p>
    <w:p>
      <w:r>
        <w:t>En l'espèce, le recourant est marié et vit en ménage commun avec son épouse ressortissante suisse, de sorte qu'il a un droit à la prolongation de son autorisation de séjour selon l'art. 4 al.1 LEtr. Il s'ensuit que le recours échappe à l'exception prévue à l' art. 83 let . c ch. 2 LTF.</w:t>
      </w:r>
    </w:p>
    <w:p>
      <w:r>
        <w:rPr>
          <w:b/>
        </w:rPr>
        <w:t>E. 1.2</w:t>
      </w:r>
    </w:p>
    <w:p>
      <w:r>
        <w:t>Les autres conditions de recevabilité étant réunies, il y a lieu d'entrer en matière.</w:t>
      </w:r>
    </w:p>
    <w:p>
      <w:r>
        <w:rPr>
          <w:b/>
        </w:rPr>
        <w:t>E. 2</w:t>
      </w:r>
    </w:p>
    <w:p>
      <w:r>
        <w:t>En vertu de l' art. 99 LTF , aucun fait nouveau ni preuve nouvelle ne peut être présenté à moins de résulter de la décision de l'autorité précédente.</w:t>
      </w:r>
    </w:p>
    <w:p>
      <w:r>
        <w:t>Les pièces établies après le 15 février 2011, date de l'arrêt attaqué, et produites par le recourant à l'appui de son recours sont par conséquent irrecevables.</w:t>
      </w:r>
    </w:p>
    <w:p>
      <w:r>
        <w:rPr>
          <w:b/>
        </w:rPr>
        <w:t>E. 3.1</w:t>
      </w:r>
    </w:p>
    <w:p>
      <w:r>
        <w:t>Aux termes de l'art. 42 al. 1 LEtr, le conjoint d'un ressortissant suisse ainsi que ses enfants célibataires de moins de 18 ans ont droit à l'octroi d'une autorisation de séjour et à la prolongation de sa durée de validité à condition de vivre en ménage commun avec lui. D'après l'art. 51 al. 1 LEtr, les droits prévus à l'art. 42 LEtr s'éteignent notamment s'ils existe des motifs de révocation au sens de l'art. 63 LEtr en particulier si l'étranger a été condamné à une peine privative de liberté de longue durée ou a fait l'objet d'une mesure pénale prévue aux art. 64 ou 61 du code pénal, (art. 62 let. b LEtr par renvoi de l'art 63 al. 1 let. a LEtr). Selon la jurisprudence, une peine privative de liberté est considérée comme de longue durée lorsqu'elle dépasse un an d'emprisonnement ( ATF 135 II 377 consid. 4.2 p. 379 ss; arrêt 2C_415/2010 du 15.04.2011, consid. 2 prévu pour la publication aux ATF), indépendamment du fait qu'elle ait été prononcée avec un sursis complet ou partiel, respectivement sans sursis (arrêts 2C_651/2009 du 01.03.2010, consid. 4.1.2; 2C_515/2009 du 27 janvier 2010, consid. 2.1).</w:t>
      </w:r>
    </w:p>
    <w:p>
      <w:r>
        <w:t>Ces conditions sont manifestement remplies en l'espèce au regard de la condamnation 36 mois d'emprisonnement dont 18 mois avec sursis prononcée contre le recourant, ce qu'il ne conteste du reste pas.</w:t>
      </w:r>
    </w:p>
    <w:p>
      <w:r>
        <w:rPr>
          <w:b/>
        </w:rPr>
        <w:t>E. 3.2</w:t>
      </w:r>
    </w:p>
    <w:p>
      <w:r>
        <w:t>Selon la jurisprudence, le refus de l'autorisation, respectivement sa révocation, ne se justifie que si la pesée des intérêts à effectuer dans le cas d'espèce fait apparaître la mesure comme proportionnée aux circonstances ( ATF 135 II 377 consid. 4.3 p. 381). Il convient donc de prendre en considération, dans la pesée des intérêts publics et privés en présence, la gravité de la faute commise par l'étranger, son degré d'intégration respectivement la durée de son séjour en Suisse et le préjudice que l'intéressé et sa famille (naissance et âge des enfants; connaissance du fait que ces relations devront être vécues à l'étranger en raison d'activités délictuelles) auraient à subir en raison de la mesure (cf. art. 96 al. 1 LEtr; ATF 135 II 377 consid. 4.3 p. 381).</w:t>
      </w:r>
    </w:p>
    <w:p>
      <w:r>
        <w:rPr>
          <w:b/>
        </w:rPr>
        <w:t>E. 3.3</w:t>
      </w:r>
    </w:p>
    <w:p>
      <w:r>
        <w:t>Un étranger peut, comme en l'espèce, se prévaloir de l'art. 8 § 1 CEDH pour s'opposer à l'éventuelle séparation de sa famille. Le droit au respect de la vie privée et familiale garanti par l'art. 8 § 1 CEDH n'est toutefois pas absolu. Une ingérence dans l'exercice de ce droit est possible selon l'art. 8 §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fondé sur l'art. 8 § 2 CEDH suppose une pesée des intérêts en présence et l'examen de la proportionnalité de la mesure (cf. ATF 135 II 377 consid. 4.3 p. 381). Selon la jurisprudence Reneja ( ATF 110 Ib 201 ) - qui demeure valable sous la LEtr ( ATF 135 II 377 consid. 4.3 et 4.4 p. 381 ss)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(cf. ATF 135 II 377 consid. 4.3 et 4.4 p. 381 s.; 130 II 176 consid. 4.1 p. 185).</w:t>
      </w:r>
    </w:p>
    <w:p>
      <w:r>
        <w:rPr>
          <w:b/>
        </w:rPr>
        <w:t>E. 4</w:t>
      </w:r>
    </w:p>
    <w:p>
      <w:r>
        <w:t>Le recourant se plaint uniquement du résultat de la pesée des intérêts publics et privés en présence.</w:t>
      </w:r>
    </w:p>
    <w:p>
      <w:r>
        <w:rPr>
          <w:b/>
        </w:rPr>
        <w:t>E. 4.1</w:t>
      </w:r>
    </w:p>
    <w:p>
      <w:r>
        <w:t>En l'espèce, l'instance précédente, qui a présenté correctement le droit applicable, relève à bon droit la gravité de la faute du recourant, motivé par l'appât du gain, que sanctionne une condamnation de 36 mois d'emprisonnement, dont 18 mois ferme, pour infraction à la loi sur les stupéfiants.</w:t>
      </w:r>
    </w:p>
    <w:p>
      <w:r>
        <w:t>Le recourant ne séjourne légalement en Suisse que depuis son mariage le 28 avril 2006, soit depuis environ 5 ans. Durant cette période, il a en outre effectué 18 mois d'emprisonnement. Pareille durée de séjour légal en Suisse est, comme le reconnaît à juste titre l'instance précédente, relativement faible. Elle a été mise à profit par le recourant, à la fin de son emprisonnement, pour commencer un apprentissage, le terminer, trouver un travail et s'occuper de sa fille, Z.________, venue au jour très prématurément et dont le maintien en vie dernière nécessite des soins aigus de néonatologie et un soutien accru de la mère de l'enfant de ce fait.</w:t>
      </w:r>
    </w:p>
    <w:p>
      <w:r>
        <w:t>Bien que de manière laconique, l'instance précédente a pris en considération son intégration professionnelle réussie et les relations étroites que le recourant entretient avec son épouse et sa fille ainsi que l'état de santé de cette dernière. Mais elle a jugé, eu égard la règle dite "des deux ans" instituée par la jurisprudence Reneja, qu'une condamnation à une peine privative de liberté de 3 ans pour trafic de grosses quantités de drogues par appât du gain se situait largement au delà de la limite des deux ans instituée par la jurisprudence, au point que, malgré la réinsertion professionnelle réussie du recourant, la situation de la famille et l'état de santé de Z.________, il ne se justifiait pas d'y déroger. Ce raisonnement ne souffre d'aucune critique et ne viole pas l'art. 8 § 2 CEDH . Le recours est par conséquent rejeté.</w:t>
      </w:r>
    </w:p>
    <w:p>
      <w:r>
        <w:rPr>
          <w:b/>
        </w:rPr>
        <w:t>E. 5</w:t>
      </w:r>
    </w:p>
    <w:p>
      <w:r>
        <w:t>Les considérants qui précèdent conduisent au rejet du recours. Succombant, le recourant doit supporter les frais judiciaires ( art. 66 al. 1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