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2C_292/2022 vom 17. Januar 2023</w:t>
      </w:r>
    </w:p>
    <w:p>
      <w:r>
        <w:t>Bundesgericht, 2023-01-17, DE</w:t>
      </w:r>
    </w:p>
    <w:p>
      <w:r>
        <w:rPr>
          <w:b/>
        </w:rPr>
        <w:t xml:space="preserve">Quelle: </w:t>
      </w:r>
      <w:r>
        <w:t>https://mcp.opencaselaw.ch/entscheid/bger_2C_292_2022</w:t>
      </w:r>
    </w:p>
    <w:p>
      <w:r>
        <w:t>FR: TF 2C_292/2022 du 17 janvier 2023</w:t>
      </w:r>
    </w:p>
    <w:p>
      <w:r>
        <w:t>IT: TF 2C_292/2022 del 17 gennaio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t>Das Rechtsmittel ist als Beschwerde in öffentlich-rechtlichen Angelegenheiten zulässig, da sich die Beschwerdeführerin gestützt auf ihre vormalige Lebenspartnerschaft mit einer aufenthaltsberechtigten Staatsangehörigen eines EU-Mitgliedstaats auf einen in Art. 50 Abs. 1 lit. b AIG in Verbindung mit Art. 52 AIG geregelten Bewilligungsanspruch berufen kann ( Art. 83 lit. c Ziff. 2 BGG ; vgl. BGE 144 II 1 E. 4.7; vgl. auch Bst. B.b hiervor). Ob die Voraussetzungen des Bewilligungsanspruchs vorliegen, ist indes nicht Gegenstand der Eintretensfrage, sondern der materiellen Beurteilung (vgl. BGE 139 I 330 E. 1.1; 136 II 177 E. 1.1). Auf die Beschwerde in öffentlich-rechtlichen Angelegenheiten ist einzutreten, soweit die Beschwerdeführerin die Verlängerung der Aufenthaltsbewilligung EU/EFTA gestützt auf Art. 50 Abs. 1 lit. b AIG beantragt.</w:t>
      </w:r>
    </w:p>
    <w:p>
      <w:r>
        <w:rPr>
          <w:b/>
        </w:rPr>
        <w:t>E. 1.2</w:t>
      </w:r>
    </w:p>
    <w:p>
      <w:r>
        <w:t>Im Weiteren richtet sich die Beschwerdeführerin in ihrer Beschwerde gegen das vorinstanzlich abgewiesene Begehren um Erteilung einer Aufenthaltsbewilligung gestützt auf Art. 30 Abs. 1 lit. b AIG .</w:t>
      </w:r>
    </w:p>
    <w:p>
      <w:r>
        <w:rPr>
          <w:b/>
        </w:rPr>
        <w:t>E. 1.2.1</w:t>
      </w:r>
    </w:p>
    <w:p>
      <w:r>
        <w:t>Bei der Aufenthaltsbewilligung im Sinne von Art. 30 Abs. 1 lit. b AIG handelt es sich um eine sogenannte Ermessensbewilligung (vgl. BGE 137 II 345 E. 3.2.1). Soweit kein Anspruch auf eine Bewilligung besteht, ist die Beschwerde in öffentlich-rechtlichen Angelegenheiten unzulässig ( Art. 83 lit. c Ziff. 2 BGG ). Dies betrifft unter anderem Rechtsmittel gegen Entscheide betreffend Abweichungen von den Zulassungsvoraussetzungen ( Art. 83 lit. c Ziff. 5 BGG ) - also namentlich soweit die Beschwerdeführerin die vorinstanzliche Anwendung von Art. 30 Abs. 1 lit. b AIG beanstandet (vgl. Urteile 2C_85/2022 vom 24. Mai 2022 E. 1.2.1; 2D_37/2021 vom 2. Dezember 2021 E. 3.1; 2C_123/2020 vom 25. Juni 2020 E. 2.2; 2C_873/2013 vom 25. März 2014 E. 1.2).</w:t>
      </w:r>
    </w:p>
    <w:p>
      <w:r>
        <w:rPr>
          <w:b/>
        </w:rPr>
        <w:t>E. 1.2.2</w:t>
      </w:r>
    </w:p>
    <w:p>
      <w:r>
        <w:t>Das Bundesgericht prüft die Anwendung von Art. 30 Abs. 1 lit. b AIG durch die kantonalen Behörden nur im Rahmen der subsidiären Verfassungsbeschwerde ( Art. 113 ff. BGG ; vgl. Urteil 2C_803/2010 vom 14. Juni 2011 E. 3). Dabei kann nur die Verletzung von verfassungsmässigen Rechten gerügt werden ( Art. 116 BGG ). Dazu gehört primär die Rüge der Verletzung von Parteirechten, deren Missachtung einer formellen Rechtsverweigerung gleichkommt (sog. "Star"-Praxis; BGE 137 II 305 E. 2). Zur Verfassungsbeschwerde legitimiert ist, wer unter anderem ein rechtlich geschütztes Interesse an der Aufhebung oder Änderung des angefochtenen Entscheids hat ( Art. 115 lit. b BGG ). Das erforderliche rechtlich geschützte Interesse ergibt sich dabei nicht bereits aus dem verfassungsrechtlichen Willkürverbot (vgl. BGE 137 II 305 E. 2 ; 134 I 153 E. 4; Urteil 2D_23/2020 vom 21. August 2020 E. 1.3.3). Da die Beschwerdeführerin im Zusammenhang mit Art. 30 Abs. 1 lit. b AIG keine eigenständige (formelle) Rüge der Verletzung von Parteirechten vorträgt ("Star"-Praxis), sondern lediglich die gleichen materiellen (Verfassungs-) Rügen vorbringt wie mit Blick auf die Anwendung von Art. 50 Abs. 1 lit. b AIG und diese im Übrigen nicht hinreichend begründet (vgl. E. 4.4 hiernach), ist auf die subsidiäre Verfassungsbeschwerde nicht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Beschwerdeführerin rügt eine Verletzung von Art. 29 Abs. 2 BV .</w:t>
      </w:r>
    </w:p>
    <w:p>
      <w:r>
        <w:rPr>
          <w:b/>
        </w:rPr>
        <w:t>E. 3.1</w:t>
      </w:r>
    </w:p>
    <w:p>
      <w:r>
        <w:t>Die Beschwerdeführerin kritisiert, die Vorinstanz habe einen Bericht des Staatssekretariats für Migration vom 27. Mai 2020 als massgebliche Entscheidgrundlage verwendet. Dieser Bericht beantworte die Frage, ob die Behörden in Bosnien und Herzegowina gewillt und fähig seien, homosexuelle und queere Menschen zu schützen, nicht in der erforderlichen Qualität. Der Bericht stütze sich lediglich auf allgemein zugängliche Internetquellen und nicht auf Auskünfte von Personen vor Ort. Insofern gehe die Vorinstanz nicht hinreichend der Frage nach, ob die Beschwerdeführerin als Angehörige einer besonders vulnerablen Personengruppe in Bosnien und Herzegowina genügend geschützt sei.</w:t>
      </w:r>
    </w:p>
    <w:p>
      <w:r>
        <w:rPr>
          <w:b/>
        </w:rPr>
        <w:t>E. 3.2</w:t>
      </w:r>
    </w:p>
    <w:p>
      <w:r>
        <w:t>Nach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3.3</w:t>
      </w:r>
    </w:p>
    <w:p>
      <w:r>
        <w:t>Soweit der Anspruch auf rechtliches Gehör der Sachaufklärung dient, können grundsätzlich auch die Rügen, die den Sachverhalt betreffen, beurteilt werden (vgl. Urteile 2C_159/2021 vom 11. Mai 2022 E. 3.2.2; 2C_852/2020 vom 14. Januar 2021 E. 3.3; 2C_828/2020 vom 24. November 2020 E. 3.3). Die Beanstandung, der Sachverhalt sei offensichtlich unrichtig festgestellt worden, muss allerdings hinreichend begründet werden (vgl. E. 2 i.f. hiervor; Art. 106 Abs. 2 BGG ). Vorliegend macht die Beschwerdeführerin mit ihrer Gehörsrüge und ihrer darin geäusserten Kritik am Bericht des Staatssekretariats für Migration vom 27. Mai 2020 denn auch im Kern geltend, die Vorinstanz habe den Sachverhalt mit Blick auf die Frage, ob wichtige persönliche Gründe für den Verbleib in der Schweiz vorlägen, nicht zuverlässig abgeklärt und den Untersuchungsgrundsatz verletzt. Entsprechend sind unter dem Aspekt des Anspruchs auf rechtliches Gehör im Folgenden auch die Sachverhaltsrügen zu prüfen.</w:t>
      </w:r>
    </w:p>
    <w:p>
      <w:r>
        <w:rPr>
          <w:b/>
        </w:rPr>
        <w:t>E. 3.3.1</w:t>
      </w:r>
    </w:p>
    <w:p>
      <w:r>
        <w:t>Die Vorinstanz führt aus, in tatsächlicher Hinsicht sei zu klären, ob die Beschwerdeführerin als homosexuelle Frau in ihrer Heimat vor Diskriminierungen und Übergriffen geschützt sei. Das Amt für Migration habe zur Beantwortung dieser Frage beim Staatssekretariat für Migration am 27. Mai 2020 einen Bericht eingeholt, in welchem dieses, unter anderem gestützt auf die bereits von der Beschwerdeführerin im Vorverfahren zitierten Berichte zum Schluss gelangt sei, dass die Beschwerdeführerin im Falle einer Rückkehr hinreichend vor Diskriminierung und Übergriffen geschützt sei (vgl. E. 2.2 des angefochtenen Urteils).</w:t>
      </w:r>
    </w:p>
    <w:p>
      <w:r>
        <w:t>Nach Auffassung der Vorinstanz bedarf es nicht zwingend weiterer konkreter Abklärungen vor Ort. Die vom Staatssekretariat für Migration herangezogenen Quellen, so die Vorinstanz, seien für die Beurteilung durchaus geeignet, zumal diese auch von LGBTI-Organisationen aus Bosnien und Herzegowina selber stammten und auf Berichten von queeren Personen aus dem Heimatland der Beschwerdeführerin beruhten. Seit dem Jahr 2011 bestehe im Übrigen ein sogenannter "Pink-Report", in welchem die Situation der Menschenrechte von LGBTI-Personen in Bosnien und Herzegowina im jeweiligen Jahr zusammengefasst werde. Die Berichte würden die Entwicklung in der Rechtsetzung wie auch in der Rechtsanwendung sowie die Erfahrungen von betroffenen Personen in der Gesellschaft aufgrund ihrer sexuellen Orientierung dokumentieren. Es zeige sich aufgrund der Berichte, dass sich die Situation für LGBTI-Personen in Bosnien und Herzegowina über die Jahre langsam, aber stetig verbessert habe. Zwischenzeitlich, so die Vorinstanz weiter, sei der "Pink-Report" zum Jahr 2021 veröffentlicht worden. Die Bewertung von Bosnien und Herzegowina durch die Vereinigung ILGA-Europe, einer Dachorganisation von über 600 LGBTI-Organisationen aus Europa und Asien, in deren "Rainbow-Index" habe sich von 31 % im Jahr 2018 auf 40 % im Jahr 2020 (und auch im Jahr 2021) verbessert. Damit rangiere Bosnien und Herzegowina in diesem Benchmark, der sich aus einer Bewertung verschiedener Kriterien zu den rechtlichen und politischen Möglichkeiten von LGBTI-Personen im jeweiligen Land zusammensetze, im vorderen Mittelfeld der europäischen Staaten. Das Land habe überdies die Schweiz überholt, die bei der Bewertung für das Jahr 2021 einen "Rainbow-Index" von 39 % erreicht habe (vgl. E. 2.4 des angefochtenen Urteils).</w:t>
      </w:r>
    </w:p>
    <w:p>
      <w:r>
        <w:rPr>
          <w:b/>
        </w:rPr>
        <w:t>E. 3.3.2</w:t>
      </w:r>
    </w:p>
    <w:p>
      <w:r>
        <w:t>Zunächst ist darauf hinzuweisen, dass der Vorwurf der Beschwerdeführerin nicht zutrifft, wonach sich die Vorinstanz für die Beurteilung der Lage in Bosnien und Herzegowina massgeblich auf das Consulting des Staatssekretariats für Migration vom 27. Mai 2020 stütze. Vielmehr verifiziert und vertieft die Vorinstanz die Erkenntnisse des Consultings vom 27. Mai 2020 mit aktuell verfügbaren Quellen - namentlich dem "Pink-Report" zum Jahr 2021 (zu dessen Inhalt vgl. E. 3.3.1 hiervor). Damit beachtet die Vorinstanz die von der Beschwerdeführerin im vorinstanzlichen Verfahren geäusserte Kritik am Consulting und nimmt diese zum Anlass, die länderspezifische Darstellung der Fachbehörde zu überprüfen. Unter dem Gesichtspunkt des Anspruchs auf rechtliches Gehör ist dieses Vorgehen nicht zu beanstanden. Ferner lebt die Vorinstanz mit ihrem Vorgehen dem Untersuchungsgrundsatz rechtsgenüglich nach. Entgegen der Auffassung der Beschwerdeführerin lässt sich daher nicht erkennen, dass die Vorinstanz unzureichend der Frage nachgeht, ob die Beschwerdeführerin als Angehörige einer besonders vulnerablen Personengruppe in Bosnien und Herzegowina genügend geschützt sei.</w:t>
      </w:r>
    </w:p>
    <w:p>
      <w:r>
        <w:rPr>
          <w:b/>
        </w:rPr>
        <w:t>E. 3.3.3</w:t>
      </w:r>
    </w:p>
    <w:p>
      <w:r>
        <w:t>Sodann vermag die im bundesgerichtlichen Verfahren erneut vorgebrachte Beanstandung des Consultings vom 27. Mai 2020 keine offensichtlich unrichtige oder unvollständige Sachverhaltsfeststellung aufzuzeigen (vgl. Art. 97 Abs. 1 BGG ). Die Vorinstanz begründet, weshalb sie weitere Abklärungen vor Ort nicht für erforderlich erachtet (vgl. E. 2.4 des angefochtenen Urteils). Mit dieser Begründung setzt sich die Beschwerdeführerin nicht hinreichend auseinander. Aus dem blossen Hinweis der Beschwerdeführerin, wonach die weitergehenden Ausführungen der Vorinstanz die "eklatanten Mängel" des Berichts des Staatssekretariats für Migration vom 27. Mai 2020 nicht aufzuwiegen vermöchten, wird jedenfalls nicht ersichtlich, weshalb die Vorinstanz weitere Abklärungen vor Ort hätte treffen müssen. Wie bereits dargelegt (vgl. E. 3.3.2 hiervor), hat die Vorinstanz den Sachverhalt nicht bloss unter Berücksichtigung des Berichts vom 27. Mai 2020 ermittelt, sondern diesen frei geprüft (vgl. auch Art. 110 BGG ). Im Übrigen legt die Beschwerdeführerin auch nicht dar, welche von der Vorinstanz getroffenen Feststellungen zur Lage von Angehörigen einer sexuellen Minderheit in Bosnien und Herzegowina nicht zutreffen sollten.</w:t>
      </w:r>
    </w:p>
    <w:p>
      <w:r>
        <w:rPr>
          <w:b/>
        </w:rPr>
        <w:t>E. 3.4</w:t>
      </w:r>
    </w:p>
    <w:p>
      <w:r>
        <w:t>Nach dem Dargelegten liegt keine Verletzung des Anspruchs auf rechtliches Gehör vor. Ausserdem hat die Vorinstanz den Sachverhalt nicht offensichtlich unrichtig oder unvollständig festgestellt und dem Untersuchungsgrundsatz hinreichend Nachachtung verschafft. Der von der Vorinstanz ermittelte Sachverhalt ist für das Bundesgericht somit verbindlich (vgl. Art. 105 Abs. 1 BGG ).</w:t>
      </w:r>
    </w:p>
    <w:p>
      <w:r>
        <w:rPr>
          <w:b/>
        </w:rPr>
        <w:t>E. 4</w:t>
      </w:r>
    </w:p>
    <w:p>
      <w:r>
        <w:t>Die Beschwerdeführerin beanstandet ferner die vorinstanzliche Anwendung von Art. 50 Abs. 1 lit. b AIG .</w:t>
      </w:r>
    </w:p>
    <w:p>
      <w:r>
        <w:rPr>
          <w:b/>
        </w:rPr>
        <w:t>E. 4.1</w:t>
      </w:r>
    </w:p>
    <w:p>
      <w:r>
        <w:t>Die Beschwerdeführerin bringt vor, die Vorinstanz verkenne die Umstände des persönlichen Härtefalls. Ihr drohten bei einer Rückkehr Repressionen, da sie ihre Homosexualität durch die eingetragene Partnerschaft, die sie eingegangen sei, öffentlich gemacht habe. Die Behörden vor Ort in Bosnien und Herzegowina seien weder fähig noch gewillt, gegen Hasskriminalität vorzugehen und sie zu schützen. Indem sich die Vorinstanz für die Frage des Schutzes der Beschwerdeführerin vor Übergriffen auf einen mangelhaften Bericht des Staatssekretariats für Migration abstütze, verletze sie Art. 50 Abs. 1 lit. b AIG .</w:t>
      </w:r>
    </w:p>
    <w:p>
      <w:r>
        <w:rPr>
          <w:b/>
        </w:rPr>
        <w:t>E. 4.2</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Wichtige persönliche Gründe im Sinne von Art. 50 Abs. 1 lit. b AIG können namentlich vorliegen, wenn die Ehegattin oder der Ehegatte Opfer ehelicher Gewalt wurde oder die Ehe nicht aus freiem Willen geschlossen hat oder die soziale Wiedereingliederung im Herkunftsland stark gefährdet erscheint (vgl. Art. 50 Abs. 2 AIG ). Bei der Beurteilung der wichtigen persönlichen Gründe sind sämtliche Aspekte des Einzelfalles mitzuberücksichtigen (vgl. BGE 137 II 345 E. 3.2.1; vgl. auch BGE 143 I 21 E. 4.1; 138 II 229 E. 3.1). Diese Bestimmungen gelten für die eingetragene Partnerschaft gleichgeschlechtlicher Paare sinngemäss ( Art. 52 AIG ).</w:t>
      </w:r>
    </w:p>
    <w:p>
      <w:r>
        <w:t>Für das Vorliegen wichtiger persönlicher Gründe entscheidend ist, ob die persönliche, berufliche und familiäre Wiedereingliederung als stark gefährdet zu gelten hat und nicht, ob ein Leben in der Schweiz einfacher wäre. Ein persönlicher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ist (vgl. BGE 137 II 345 E. 3.2.2; Urteil 2C_213/2020 vom 10. Juni 2020 E. 4.1).</w:t>
      </w:r>
    </w:p>
    <w:p>
      <w:r>
        <w:rPr>
          <w:b/>
        </w:rPr>
        <w:t>E. 4.3</w:t>
      </w:r>
    </w:p>
    <w:p>
      <w:r>
        <w:t>Nachdem feststeht, dass die ehemalige, deutsche Lebenspartnerin der Beschwerdeführerin nach wie vor in der Schweiz aufenthaltsberechtigt ist, kann sich die Beschwerdeführerin auf einen Aufenthaltsanspruch gemäss Art. 50 Abs. 1 lit. b AIG in Verbindung mit Art. 52 AIG berufen (zum Ganzen vgl. BGE 144 II 1 E. 4.7; Urteil 2C_1056/2021 vom 7. Juli 2022 E. 4.3.1; vgl. dazu Art. 2 des Abkommens vom 21. Juni 1999 zwischen der Schweizerischen Eidgenossenschaft einerseits und der Europäischen Gemeinschaft und ihren Mitgliedstaaten andererseits über die Freizügigkeit [FZA; SR 0.142.112.681]).</w:t>
      </w:r>
    </w:p>
    <w:p>
      <w:r>
        <w:t>Allerdings bestehen in der vorliegenden Angelegenheit keine wichtigen persönlichen Gründe im Sinne von Art. 50 Abs. 1 lit. b und Abs. 2 AIG : Die Beschwerdeführerin lebte während 41 Jahren in Bosnien und Herzegowina und reiste erst am 10. August 2014 in die Schweiz ein. Sie ist der bosnischen Sprache mächtig und mit den Verhältnissen in ihrem Heimatland vertraut. Die Beschwerdeführerin ist gesund und kinderlos. Im vorliegenden Verfahren stellt die Beschwerdeführerin denn auch nicht ihre berufliche oder familiäre Wiedereingliederung infrage. Sie macht lediglich geltend, dass ihre soziale Wiedereingliederung aufgrund ihrer vormaligen eingetragenen Partnerschaft stark gefährdet sei. Der Auffassung der Beschwerdeführerin ist angesichts der für das Bundesgericht verbindlich getroffenen Abklärungen nicht zu folgen (vgl. E. 3.3.1 hiervor; vgl. auch Art. 105 Abs. 1 BGG ). Die vorinstanzliche (rechtliche) Würdigung dieser Feststellungen, wonach aufgrund der im Heimatland der Beschwerdeführerin zwischenzeitlich erzielten Fortschritte bezüglich des Schutzes und der Rechtsstellung von LGBTI-Personen ihre Wiedereingliederung trotz ihrer sexuellen Orientierung nicht als stark gefährdet erscheine, ist nicht zu beanstanden. Im Lichte des Gesagten liegt kein Härtefall im Sinne von Art. 50 Abs. 1 lit. b AIG vor.</w:t>
      </w:r>
    </w:p>
    <w:p>
      <w:r>
        <w:rPr>
          <w:b/>
        </w:rPr>
        <w:t>E. 4.4</w:t>
      </w:r>
    </w:p>
    <w:p>
      <w:r>
        <w:t>Soweit die Beschwerdeführerin im Weiteren eine Verletzung von Art. 7 BV , Art. 10 BV und Art. 2 EMRK geltend macht, genügen ihre diesbezüglichen Ausführungen nicht den Anforderungen von Art. 106 Abs. 2 BGG an die Rüge der Verletzung von verfassungsmässigen Rechten (vgl. E. 2 hiervor). Im Übrigen wären diese Verfassungsrügen nach dem Dargelegten aber ohnehin unbegründet, zumal die Beschwerdeführerin die Verletzung der verfassungsmässigen Rechte im Wesentlichen mit Hinweis auf den unzureichenden Bericht des Staatssekretariats für Migration herleitet (vgl. dazu E.3 hiervor).</w:t>
      </w:r>
    </w:p>
    <w:p>
      <w:r>
        <w:rPr>
          <w:b/>
        </w:rPr>
        <w:t>E. 5</w:t>
      </w:r>
    </w:p>
    <w:p>
      <w:r>
        <w:t>Im Ergebnis erweist sich die Beschwerde in öffentlich-rechtlichen Angelegenheiten als unbegründet, weshalb sie abzuweisen ist. Auf die subsidiäre Verfassungsbeschwerde ist nicht einzutreten.</w:t>
      </w:r>
    </w:p>
    <w:p>
      <w:r>
        <w:t>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