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2C_292/2010 vom 28. April 2011</w:t>
      </w:r>
    </w:p>
    <w:p>
      <w:r>
        <w:t>Bundesgericht, 2011-04-28, FR</w:t>
      </w:r>
    </w:p>
    <w:p>
      <w:r>
        <w:rPr>
          <w:b/>
        </w:rPr>
        <w:t xml:space="preserve">Quelle: </w:t>
      </w:r>
      <w:r>
        <w:t>https://mcp.opencaselaw.ch/entscheid/bger_2C_292_2010</w:t>
      </w:r>
    </w:p>
    <w:p>
      <w:r>
        <w:t>FR: TF 2C_292/2010 du 28 avril 2011</w:t>
      </w:r>
    </w:p>
    <w:p>
      <w:r>
        <w:t>IT: TF 2C_292/2010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acte complémentaire du 14 mars 2008, leur mémoire initial étant muet sur cette prétention) à ce qu'un montant de 25'000 fr. leur soit alloué à chacun à titre de réparation du tort moral. Ces conclusions sont reprises dans le présent recours. Devant le Tribunal administratif fédéral, les recourants avaient en outre fait valoir des prétentions en indemnisation de la perte de soutien, auxquelles ils ont renoncé dans la présente procédure. Additionnées pour tenir compte de la consorité (2 x 25'000 = 50'000 fr.),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Lorsqu'ils concluent à titre principal à l'allocation d'un montant supplémentaire à titre de réparation du tort moral, les recourants perdent de vue que la question du tort moral n'a pas été traitée sur le fond par l'autorité précédente, le Tribunal administratif fédéral ayant estimé que les conclusions y relatives contenues dans le mémoire complémentaire étaient tardives et donc irrecevables. Dans de telles circonstances, le procès devant le Tribunal fédéral ne peut porter que sur la recevabilité desdites conclusions devant l'instance précédente, nullement sur le point de savoir si une somme aurait dû être adjugée de ce chef aux recourants. La Haute Cour ne saurait en effet se prononcer comme première et unique instance sur des conclusions qui n'ont pas été examinées au fond par l'autorité précédente. En conséquence, la conclusion principale des recourants tendant à l'adjudication de montants à titre de réparation du tort moral est irrecevable.</w:t>
      </w:r>
    </w:p>
    <w:p>
      <w:r>
        <w:rPr>
          <w:b/>
        </w:rPr>
        <w:t>E. 1.4.1</w:t>
      </w:r>
    </w:p>
    <w:p>
      <w:r>
        <w:t>Quant à la conclusion subsidiaire tendant au renvoi de la cause à l'autorité précédente pour nouvelle décision dans le sens des considérants, il n'est pas exclu de l'interpréter en ce sens qu'elle se rapporte à la recevabilité devant le Tribunal administratif fédéral des conclusions nouvelles contenues dans le mémoire complémentaire du 14 mars 2008. Les conclusions doivent en effet être interprétées à la lumière de la motivation du recours. Or, en l'occurrence, le recours en matière de droit public contient une argumentation selon laquelle les conclusions pouvaient être étendues après l'échéance du délai de recours au Tribunal administratif fédéral. Cette argumentation étant de toutes manières mal fondée (cf. consid. 1.4.2 ci-après), la question du sens et de la recevabilité de ladite conclusion subsidiaire peut demeurer indécise. Il convient toutefois de relever encore une fois que toutes les considérations relatives au fond de l'affaire, c'est-à-dire à l'importance de la somme allouée à titre de réparation du tort moral, ne trouvent pas place dans le débat devant le Tribunal de céans, qui se limite à la question de la recevabilité devant le Tribunal administratif fédéral des conclusions nouvelles adoptées au-delà du délai de recours.</w:t>
      </w:r>
    </w:p>
    <w:p>
      <w:r>
        <w:rPr>
          <w:b/>
        </w:rPr>
        <w:t>E. 1.4.2</w:t>
      </w:r>
    </w:p>
    <w:p>
      <w:r>
        <w:t>A cet égard, force est d'approuver la solution retenue par l'autorité précédente. En effet, selon la loi fédérale du 20 décembre 1968 sur la procédure administrative (PA; RS 172.021), qui régit la procédure devant elle (cf. art. 37 de la loi fédérale du 17 juin 2005 sur le Tribunal administratif fédéral [LTAF; RS 173.32]), le mémoire de recours doit être déposé dans les trente jours suivant la notification de la décision attaquée ( art. 50 al. 1 PA ) et doit contenir notamment les conclusions ( art. 52 al. 1 1 ère phrase PA). Telles qu'elles sont formulées dans le mémoire de recours déposé conformément à ces dispositions, les conclusions définissent l'objet du litige, qui ne peut en principe plus être étendu ultérieurement par les parties ( ATF 136 II 165 consid. 4 p. 173 et consid. 5 p. 174 et la référence à l' ATF 133 II 30 consid. 2 p. 32). Le délai destiné à compléter la motivation, que l'autorité de recours peut accorder en vertu de l' art. 53 PA , ne saurait avoir pour effet de prolonger le délai légal de recours. Par conséquent, si les conclusions adoptées dans le délai légal peuvent faire l'objet ultérieurement d'une motivation complémentaire, elles ne sauraient en revanche être modifiées, en tout cas pas dans le sens d'une extension. Ce principe, justement exposé par le Tribunal administratif fédéral au consid. 4.1 de l'arrêt entrepris, auquel il peut être renvoyé pour le surplus, n'a d'ailleurs rien d'exceptionnel. Pour ce qui est par exemple de la procédure devant le Tribunal fédéral, les conclusions exigées par l' art. 42 al. 1 LTF doivent être présentées dans le délai de recours; le fait qu'un second échange d'écritures soit exceptionnellement ordonné (cf. art. 102 al. 3 LTF a contrario) ne permet pas d'en formuler de nouvelles (cf. Florence Aubry Girardin, in Commentaire de la LTF, 2009, no 19 ad art. 42, avec référence à l' ATF 134 IV 156 consid. 1.7 p. 162). De même, l' art. 43 let. b LTF autorise le Tribunal fédéral à octroyer un délai supplémentaire pour compléter la motivation d'un recours en matière d'entraide pénale internationale; seule la motivation peut toutefois être complétée, à l'exclusion des conclusions qui doivent être formulées dans le délai légal de recours, sous peine d'irrecevabilité (cf. Aubry Girardin, op. cit., no 6 ad art. 43, avec référence à l'ATF 134 précité).</w:t>
      </w:r>
    </w:p>
    <w:p>
      <w:r>
        <w:t>Selon les recourants qui dénoncent une violation de l' art. 52 PA , il se justifierait, au vu des éléments nouveaux qui sont ressortis de la procédure pénale devant le Tribunal de Bülach, de faire une exception à la règle ci-dessus et d'admettre les conclusions nouvelles contenues dans le mémoire complémentaire du 14 mars 2008.</w:t>
      </w:r>
    </w:p>
    <w:p>
      <w:r>
        <w:t>La question de savoir si la règle en question connaît des exceptions n'a pas à être tranchée en l'espèce (de telles exceptions ne sont pas évoquées par André Moser, in Kommentar zum Bundesgesetz über das Verwaltungsverfahren, 2008, no 4 ad art. 52; le même, in Prozessieren vor dem Bundesverwaltungsgericht, 2008, ch. 2.215; elles sont expressément exclues par Seethaler/Bochsler, in Praxiskommentar zum Bundesgesetz über das Verwaltungsverfahren, 2009, no 41 ad art. 52). Il suffit de relever qu'à supposer que cela soit possible, il n'y aurait pas lieu en l'espèce de déroger à la règle, les éléments ressortant du jugement du Tribunal de Bülach n'étant pas de nature à éclairer la cause d'un jour entièrement nouveau et à justifier ainsi que l'on autorise les recourants à prendre de nouvelles conclusions, qu'ils n'auraient pas été en mesure de formuler auparavant.</w:t>
      </w:r>
    </w:p>
    <w:p>
      <w:r>
        <w:t>Il s'ensuit qu'en tant qu'elle est recevable, la conclusion subsidiaire doit être rejetée.</w:t>
      </w:r>
    </w:p>
    <w:p>
      <w:r>
        <w:rPr>
          <w:b/>
        </w:rPr>
        <w:t>E. 2</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