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290/2007 vom 9. November 2007</w:t>
      </w:r>
    </w:p>
    <w:p>
      <w:r>
        <w:t>Bundesgericht, 2007-11-09, DE</w:t>
      </w:r>
    </w:p>
    <w:p>
      <w:r>
        <w:rPr>
          <w:b/>
        </w:rPr>
        <w:t xml:space="preserve">Quelle: </w:t>
      </w:r>
      <w:r>
        <w:t>https://mcp.opencaselaw.ch/entscheid/bger_2C_290_2007</w:t>
      </w:r>
    </w:p>
    <w:p>
      <w:r>
        <w:t>FR: TF 2C 290/2007 du 9 novembre 2007</w:t>
      </w:r>
    </w:p>
    <w:p>
      <w:r>
        <w:t>IT: TF 2C 290/2007 del 9 novembre 2007</w:t>
      </w:r>
    </w:p>
    <w:p>
      <w:pPr>
        <w:pStyle w:val="Heading2"/>
      </w:pPr>
      <w:r>
        <w:t>Regeste</w:t>
      </w:r>
    </w:p>
    <w:p>
      <w:r>
        <w:t>Familiennachzug | Bürgerrecht und Ausländerrecht</w:t>
      </w:r>
    </w:p>
    <w:p>
      <w:pPr>
        <w:pStyle w:val="Heading2"/>
      </w:pPr>
      <w:r>
        <w:t>Erwägungen</w:t>
      </w:r>
    </w:p>
    <w:p>
      <w:r>
        <w:rPr>
          <w:b/>
        </w:rPr>
        <w:t>E. 1.1</w:t>
      </w:r>
    </w:p>
    <w:p>
      <w:r>
        <w:t>Angefochten ist ein letztinstanzlicher kantonaler Entscheid über eine ausländerrechtliche Bewilligung, also eine Angelegenheit des öffentlichen Rechts. Derartige Entscheide können im Grundsatz mit dem ordentlichen Rechtsmittel der Beschwerde in öffentlich-rechtlichen Angelegenheiten gemäss Art. 82-89 BGG beim Bundesgericht angefochten werden. Nach Art. 83 lit. c Ziff. 2 BGG ist die Beschwerde in öffentlich-rechtlichen Angelegenheiten auf dem Gebiet des Ausländerrechts jedoch unzulässig gegen Entscheide betreffend Bewilligungen, auf die weder das Bundesrecht noch das Völkerrecht einen Anspruch einräumen.</w:t>
      </w:r>
    </w:p>
    <w:p>
      <w:r>
        <w:rPr>
          <w:b/>
        </w:rPr>
        <w:t>E. 1.2</w:t>
      </w:r>
    </w:p>
    <w:p>
      <w:r>
        <w:t>Ledige ausländische Kinder unter 18 Jahren von Schweizer Bürgern haben gemäss bundesgerichtlicher Rechtsprechung gestützt auf Art. 7 ANAG in Analogie zu Art. 17 Abs. 2 Satz 3 ANAG Anspruch auf die Niederlassungsbewilligung, wenn sie mit diesen zusammen wohnen ( BGE 130 II 137 E. 2.1 S. 141 ; 129 I 249 E. 1.2 S. 252 mit Hinweisen).</w:t>
      </w:r>
    </w:p>
    <w:p>
      <w:r>
        <w:rPr>
          <w:b/>
        </w:rPr>
        <w:t>E. 1.3</w:t>
      </w:r>
    </w:p>
    <w:p>
      <w:r>
        <w:t>Der Beschwerdeführer ist Schweizer Bürger. Er hat demnach einen grundsätzlichen Anspruch auf den Nachzug seines im Zeitpunkt der Gesuchseinreichung 13 Jahre alten Sohnes (vgl. BGE 129 II 11 und 126 II 329). Da dieser auch heute noch nicht volljährig ist, ist zudem die Berufung auf das in Art. 8 Ziff. 1 EMRK bzw. in Art. 13 Abs. 1 BV garantierte Recht auf Achtung des Familienlebens zulässig (vgl. BGE 129 II 249 E. 1.2 S. 252 mit Hinweisen). Auf die Beschwerde in öffentlich-rechtlichen Angelegenheiten ist deshalb einzutreten.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Das Bundesgericht wendet das Recht von Amtes wegen an. Es prüft die Verletzung von Grundrechten und von kantonalem und interkantonalem Recht aber nur insofern, als eine solche Rüge in der Beschwerde vorgebracht und begründet worden ist ( Art. 106 BGG ).</w:t>
      </w:r>
    </w:p>
    <w:p>
      <w:r>
        <w:rPr>
          <w:b/>
        </w:rPr>
        <w:t>E. 2.1</w:t>
      </w:r>
    </w:p>
    <w:p>
      <w:r>
        <w:t>Zweck des Familiennachzugs gemäss Art. 7 und Art. 17 Abs. 2 Satz 3 ANAG ist grundsätzlich, das familiäre Zusammenleben beider Eltern mit den Kindern zu ermöglichen. Sind die Eltern von einander getrennt oder geschieden und hält sich der eine Elternteil in der Schweiz, der andere aber im Ausland auf, kann es nicht um eine Zusammenführung der Gesamtfamilie gehen. -:- Die in der Rechtsprechung zu Art. 7 und 17 ANAG entwickelten Voraussetzungen für den nachträglichen Nachzug von Kindern sind daher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Betreuungsverhältnisse dies gebieten ( BGE 130 II 1 E. 2.2 S. 4; 129 II 11 E. 3.1.3 S. 15 mit Hinweisen). Das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133 II 6 E. 3.1.2 S. 11 f.; 125 II 585 E. 2c S. 588 mit Hinweisen).</w:t>
      </w:r>
    </w:p>
    <w:p>
      <w:r>
        <w:rPr>
          <w:b/>
        </w:rPr>
        <w:t>E. 2.2</w:t>
      </w:r>
    </w:p>
    <w:p>
      <w:r>
        <w:t>Der Beschwerdeführer kann als verwitweter bzw. wiederverheirateter Elternteil, der sein Kind jahrelang im Heimatland in der Obhut der Grossmutter gelassen hat, den nachträglichen Nachzug seines Sohnes nur verlangen, wenn stichhaltige Gründe für dessen Übersiedlung zum Vater in die Schweiz bestehen. Es kommen dabei die gleichen Grundsätze zur Anwendung wie bei getrennt lebenden oder geschiedenen Elternteilen ( BGE 129 II 11 E. 3.4 S. 16 f.). Gründe für eine Änderung der Betreuungsverhältnisse dürfen nicht leichthin bejaht werden. Es gelten hohe Beweisanforderungen ( BGE 133 II 6 E. 3.3 S. 13; 129 II 11 E. 3.3.2 S. 16 mit Hinweisen); an den Nachweis der fehlenden Betreuungsmöglichkeit im Heimatland sind umso höhere Anforderungen zu stellen, je älter das Kind ist bzw. je grösser die ihm in der Schweiz drohenden Integrationsschwierigkeiten sind, zumal es aus integrationspolitischer Sicht nicht erwünscht ist, dass Jugendliche erst nach Abschluss der obligatorischen Schule und kurz vor Erreichung der Altersgrenze in die Schweiz geholt werden (vgl. BGE 129 II 11 E. 3.3.2 S. 16; vgl. auch BGE 133 II 6 E. 5.3 S. 19 mit Hinweis auf das Urteil des Europäischen Gerichtshofes für Menschenrechte i.S. Tuquabo-Tekle [Nr. 60665 vom 1. Dezember 2005]).</w:t>
      </w:r>
    </w:p>
    <w:p>
      <w:r>
        <w:rPr>
          <w:b/>
        </w:rPr>
        <w:t>E. 2.3</w:t>
      </w:r>
    </w:p>
    <w:p>
      <w:r>
        <w:t>Nachdem der Beschwerdeführer bei seiner Ausreise aus Guinea im Jahr 1996 seinen Sohn nicht mitgenommen, sondern in der Obhut der Grossmutter belassen und damit die Familientrennung ursprünglich selbst freiwillig herbeigeführt hatte, müsste er nun nachweisen, dass für die Änderung der bisherigen Verhältnisse überwiegende familiäre Interessen bestehen bzw. dass sich ein Wechsel als zwingend erweist und im Heimatland keine Betreuungsmöglichkeiten mehr bestehen (vgl. BGE 133 II 6 E. 3.1.2 S. 11 f.).</w:t>
      </w:r>
    </w:p>
    <w:p>
      <w:r>
        <w:rPr>
          <w:b/>
        </w:rPr>
        <w:t>E. 2.4</w:t>
      </w:r>
    </w:p>
    <w:p>
      <w:r>
        <w:t>Der Beschwerdeführer hat im kantonalen Verfahren auf das hohe Alter der Grossmutter (über 80 Jahre) verwiesen, ohne aber diese Darstellung durch amtliche Dokumente belegen zu können. Inzwischen soll die Grossmutter verstorben sein, was als Novum im vorliegenden Verfahren nicht berücksichtigt werden kann ( Art. 99 Abs. 1 BGG ) und im Übrigen wiederum nicht urkundlich belegt ist. Wie das Bundesamt in seiner Vernehmlassung zu Recht ausführt, wäre es dem Beschwerdeführer so oder so zuzumuten gewesen, näher darzulegen, dass und inwiefern die Betreuung seines Sohnes durch keine sonstigen Verwandten mütterlicher- oder väterlicherseits übernommen werden kann, wie dies im dortigen Kulturkreis üblich ist.</w:t>
      </w:r>
    </w:p>
    <w:p>
      <w:r>
        <w:rPr>
          <w:b/>
        </w:rPr>
        <w:t>E. 2.5</w:t>
      </w:r>
    </w:p>
    <w:p>
      <w:r>
        <w:t>Mangels nachgewiesener Änderung der bisherigen Betreuungsverhältnisse verstösst die Verweigerung des Familiennachzugs im vorliegenden Fall nicht gegen Bundesrecht.</w:t>
      </w:r>
    </w:p>
    <w:p>
      <w:r>
        <w:rPr>
          <w:b/>
        </w:rPr>
        <w:t>E. 3.1</w:t>
      </w:r>
    </w:p>
    <w:p>
      <w:r>
        <w:t>Die Beschwerde erweist sich deshalb als unbegründet und ist abzuweisen.</w:t>
      </w:r>
    </w:p>
    <w:p>
      <w:r>
        <w:rPr>
          <w:b/>
        </w:rPr>
        <w:t>E. 3.2</w:t>
      </w:r>
    </w:p>
    <w:p>
      <w:r>
        <w:t>Bei diesem Verfahrensausgang hat der Beschwerdeführer die Kosten des bundesgerichtlichen Verfahrens zu tragen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