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2C_288/2009 vom 30. Juli 2008</w:t>
      </w:r>
    </w:p>
    <w:p>
      <w:r>
        <w:t>Bundesgericht, 2008-07-30, IT</w:t>
      </w:r>
    </w:p>
    <w:p>
      <w:r>
        <w:rPr>
          <w:b/>
        </w:rPr>
        <w:t xml:space="preserve">Quelle: </w:t>
      </w:r>
      <w:r>
        <w:t>https://mcp.opencaselaw.ch/entscheid/bger_2C_288_2009</w:t>
      </w:r>
    </w:p>
    <w:p>
      <w:r>
        <w:t>FR: TF 2C_288/2009 du 30 juillet 2008</w:t>
      </w:r>
    </w:p>
    <w:p>
      <w:r>
        <w:t>IT: TF 2C_288/2009 del 30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134 IV 36 consid. 1; 133 II 249 consid. 1.1 con riferimenti).</w:t>
      </w:r>
    </w:p>
    <w:p>
      <w:r>
        <w:rPr>
          <w:b/>
        </w:rPr>
        <w:t>E. 2</w:t>
      </w:r>
    </w:p>
    <w:p>
      <w:r>
        <w:t>Giusta l'art. 83 lett. t LTF il ricorso in materia di diritto pubblico è inammissibile contro le decisioni concernenti l'esito di esami e di altre valutazioni della capacità, segnatamente nei settori della scuola, del perfezionamento e dell'esercizio della professione. In concreto la controversia non si riferisce all'apprezzamento di una prova scolastica; essa riguarda la questione di sapere se per ottenere l'abilitazione richiesta, in mancanza della formazione esatta dalla normativa (cfr. art. 4 cpv. 2 della legge federale sull'abilitazione e la sorveglianza dei revisori del 16 dicembre 2005, LSR; RS 221.302) si possa colmare tale lacuna mediante un'esperienza pluriennale nel settore in questione. In sostanza occorre quindi valutare le capacità e le competenze che possono venir acquisite mediante la pratica professionale. Ne discende che la fattispecie ricade sotto l'art. 83 lett. t LTF (cfr. sentenza 2C_438/2008 del 16 ottobre 2008 consid. 2.3). La via del ricorso ordinario in materia di diritto pubblico è perciò esclusa.</w:t>
      </w:r>
    </w:p>
    <w:p>
      <w:r>
        <w:rPr>
          <w:b/>
        </w:rPr>
        <w:t>E. 3</w:t>
      </w:r>
    </w:p>
    <w:p>
      <w:r>
        <w:t>Osservato poi che oggetto del contendere è una decisione del Tribunale amministrativo federale ne discende che anche trattato quale ricorso sussidiario in materia costituzionale il gravame sarebbe irricevibile ( art. 113 LTF ).</w:t>
      </w:r>
    </w:p>
    <w:p>
      <w:r>
        <w:rPr>
          <w:b/>
        </w:rPr>
        <w:t>E. 4</w:t>
      </w:r>
    </w:p>
    <w:p>
      <w:r>
        <w:t>Per i motivi illustrati, il ricorso si avvera pertanto manifestamente inammissibile ( art. 108 cpv. 1 lett. a LTF ) e va deciso secondo la procedura semplificata dell' art. 108 LTF . Le spese seguono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