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2C_287/2016 vom 6. April 2016</w:t>
      </w:r>
    </w:p>
    <w:p>
      <w:r>
        <w:t>Bundesgericht, 2016-04-06, IT</w:t>
      </w:r>
    </w:p>
    <w:p>
      <w:r>
        <w:rPr>
          <w:b/>
        </w:rPr>
        <w:t xml:space="preserve">Quelle: </w:t>
      </w:r>
      <w:r>
        <w:t>https://mcp.opencaselaw.ch/entscheid/bger_2C_287_2016</w:t>
      </w:r>
    </w:p>
    <w:p>
      <w:r>
        <w:t>FR: TF 2C_287/2016 du 6 avril 2016</w:t>
      </w:r>
    </w:p>
    <w:p>
      <w:r>
        <w:t>IT: TF 2C_287/2016 del 6 aprile 2016</w:t>
      </w:r>
    </w:p>
    <w:p>
      <w:pPr>
        <w:pStyle w:val="Heading2"/>
      </w:pPr>
      <w:r>
        <w:t>Erwägungen</w:t>
      </w:r>
    </w:p>
    <w:p>
      <w:r>
        <w:rPr>
          <w:b/>
        </w:rPr>
        <w:t>E. 1</w:t>
      </w:r>
    </w:p>
    <w:p>
      <w:r>
        <w:t>II Tribunale federale esamina d'ufficio e con piena cognizione la sua competenza ( art. 29 cpv. 1 LTF ) e l'ammissibilità dei gravami che gli vengono sottoposti ( DTF 139 V 42 consid. 1 pag. 44; 138 I 367 consid. 1 pag. 369).</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succinta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almeno brevemente con i considerandi della decisione dell'autorità inferiore che reputa lesivi del diritto ( DTF 134 II 244 consid. 2.1 - 2.3 pag. 245 segg.).</w:t>
      </w:r>
    </w:p>
    <w:p>
      <w:r>
        <w:rPr>
          <w:b/>
        </w:rPr>
        <w:t>E. 2.2</w:t>
      </w:r>
    </w:p>
    <w:p>
      <w:r>
        <w:t>Nel caso concreto il ricorso non adempie manifestamente queste esigenze di motivazione. Il ricorrente infatti non si confronta affatto con la dettagliata argomentazione sviluppata dalla Corte cantonale sulla questione dell'adempimento delle condizioni per potere beneficiare dell'assistenza giudiziaria (cfr. pronuncia impugnata pag. 3 e 4), qui condivisa e alla quale si rinvia, né sostanzia segnatamente una qualsiasi violazione del diritto (art. 95 segg. LTF). Per quanto riguarda invece il richiesto versamento di uno stipendio quale guardia carceraria nonché l'indennizzo dell'incapacità lavorativa derivante dal rapporto d'impiego, come già osservato in sede cantonale, il quesito esula dall'oggetto del litigio e sfugge pertanto ad un esame di merito.</w:t>
      </w:r>
    </w:p>
    <w:p>
      <w:r>
        <w:rPr>
          <w:b/>
        </w:rPr>
        <w:t>E. 2.3</w:t>
      </w:r>
    </w:p>
    <w:p>
      <w:r>
        <w:t>Il ricorso, che non contiene una motivazione topica riferita al tema della causa, si rivela quindi inammissibile e può essere deciso sulla base della procedura semplificata dell' art. 108 cpv. 1 lett. b LTF .</w:t>
      </w:r>
    </w:p>
    <w:p>
      <w:r>
        <w:rPr>
          <w:b/>
        </w:rPr>
        <w:t>E. 3</w:t>
      </w:r>
    </w:p>
    <w:p>
      <w:r>
        <w:t>Viste le particolari circostanze del caso,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