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2C_286/2013 vom 21. Mai 2013</w:t>
      </w:r>
    </w:p>
    <w:p>
      <w:r>
        <w:t>Bundesgericht, 2013-05-21, FR</w:t>
      </w:r>
    </w:p>
    <w:p>
      <w:r>
        <w:rPr>
          <w:b/>
        </w:rPr>
        <w:t xml:space="preserve">Quelle: </w:t>
      </w:r>
      <w:r>
        <w:t>https://mcp.opencaselaw.ch/entscheid/bger_2C_286_2013</w:t>
      </w:r>
    </w:p>
    <w:p>
      <w:r>
        <w:t>FR: TF 2C_286/2013 du 21 mai 2013</w:t>
      </w:r>
    </w:p>
    <w:p>
      <w:r>
        <w:t>IT: TF 2C_286/2013 del 21 maggio 2013</w:t>
      </w:r>
    </w:p>
    <w:p>
      <w:pPr>
        <w:pStyle w:val="Heading2"/>
      </w:pPr>
      <w:r>
        <w:t>Erwägungen</w:t>
      </w:r>
    </w:p>
    <w:p>
      <w:r>
        <w:rPr>
          <w:b/>
        </w:rPr>
        <w:t>E. 1</w:t>
      </w:r>
    </w:p>
    <w:p>
      <w:r>
        <w:t>Le Tribunal fédéral examine d'office sa compétence ( art. 29 al. 1 LTF ). Il contrôle librement la recevabilité des recours qui lui sont soumis ( ATF 136 I 42 consid. 1 p. 43; 135 II 94 consid. 1 p. 96).</w:t>
      </w:r>
    </w:p>
    <w:p>
      <w:r>
        <w:rPr>
          <w:b/>
        </w:rPr>
        <w:t>E. 1.1</w:t>
      </w:r>
    </w:p>
    <w:p>
      <w:r>
        <w:t>En vertu de l' art. 83 let . c ch. 2 LTF, le recours est irrecevable contre les décisions en matière de droit des étrangers qui concernent une autorisation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497 consid. 3.3 p. 500 s.).</w:t>
      </w:r>
    </w:p>
    <w:p>
      <w:r>
        <w:rPr>
          <w:b/>
        </w:rPr>
        <w:t>E. 1.2</w:t>
      </w:r>
    </w:p>
    <w:p>
      <w:r>
        <w:t>Pour le surplus, le recours est dirigé contre une décision finale ( art. 90 LTF ), rendue en dernière instance cantonale par un tribunal supérieur ( art. 86 al. 1 let . d et 2 LTF).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1.3</w:t>
      </w:r>
    </w:p>
    <w:p>
      <w:r>
        <w:t>Le recours peut être interjeté pour violation du droit, tel qu'il est délimité par les art. 95 et 96 LTF . Le Tribunal fédéral applique le droit d'office ( art. 106 al. 1 LTF ). Compte tenu de l'exigence de motivation contenue à l' art. 42 al. 1 et 2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2</w:t>
      </w:r>
    </w:p>
    <w:p>
      <w:r>
        <w:t>Le recourant remet en cause uniquement l'appréciation des conditions de l'art. 50 al. 1 let. a LEtr par le Tribunal cantonal.</w:t>
      </w:r>
    </w:p>
    <w:p>
      <w:r>
        <w:rPr>
          <w:b/>
        </w:rPr>
        <w:t>E. 2.1</w:t>
      </w:r>
    </w:p>
    <w:p>
      <w:r>
        <w:t>Selon cette disposition,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w:t>
      </w:r>
    </w:p>
    <w:p>
      <w:r>
        <w:t>En l'espèce, les autorités précédentes ont admis que l'union conjugale avait duré plus de trois ans. Seule demeure donc litigieuse la question de l'intégration réussie.</w:t>
      </w:r>
    </w:p>
    <w:p>
      <w:r>
        <w:rPr>
          <w:b/>
        </w:rPr>
        <w:t>E. 2.2</w:t>
      </w:r>
    </w:p>
    <w:p>
      <w:r>
        <w:t>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 2C_839/2010 du 25 février 2011 consid. 7.1.2). Dans l'examen de ces critères d'intégration, les autorités compétentes disposent d'un large pouvoir d'appréciation que le Tribunal fédéral ne revoit qu'avec retenue (cf. art. 54 al. 2 et 96 al. 1 LEtr ainsi qu' art. 3 OIE ; cf. arrêts 2C_427/2011 du 26 octobre 2011 consid. 5.2; 2C_430/2011 du 11 octobre 2011 consid. 4.2 et 2C_986/2010 du 18 mai 2011 consid. 5.2).</w:t>
      </w:r>
    </w:p>
    <w:p>
      <w:r>
        <w:rPr>
          <w:b/>
        </w:rPr>
        <w:t>E. 2.3</w:t>
      </w:r>
    </w:p>
    <w:p>
      <w:r>
        <w:t>Bien qu'il n'y soit pas lié, le Tribunal fédéral peut tenir compte des directives et commentaires de l'Office fédéral des migrations en matière de droit des étrangers au titre de l'expression d'une pratique (cf. ATF 133 V 346 consid. 5.4.2 p. 352; arrêt 2C_800/2008 du 12 juin 2009 consid. 5.2).</w:t>
      </w:r>
    </w:p>
    <w:p>
      <w:r>
        <w:t>D'après le chiffre 2.2 de la directive n° IV (intégration) de l'Office fédéral des migrations du 1er août 2008, l'ordre public au sens de l' art. 4 let. a OIE se subdivise en deux composantes: l'ordre juridique objectif et les représentations de l'ordre. Constitue un indicateur de l'ordre juridique objectif la réputation irréprochable selon l'extrait du casier judiciaire. Les éventuelles condamnations sont prises en considération différemment selon le type de délit, la gravité de la faute et la peine prononcée. Font notamment partie des représentations de l'ordre le respect des décisions des autorités et l'observation des obligations de droit public ou des engagements privés. La directive mentionne comme exemples l'absence de poursuites ou de dette fiscale et le paiement ponctuel des pensions alimentaires.</w:t>
      </w:r>
    </w:p>
    <w:p>
      <w:r>
        <w:rPr>
          <w:b/>
        </w:rPr>
        <w:t>E. 2.4</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(cf. arrêts 2C_427/2011 du 26 octobre 2011 consid. 5.3; 2C_430/2011 du 11 octobre 2011 consid. 4.2 et 2C_839/2010 du 25 février 2011 consid. 7.1.2).</w:t>
      </w:r>
    </w:p>
    <w:p>
      <w:r>
        <w:rPr>
          <w:b/>
        </w:rPr>
        <w:t>E. 2.5</w:t>
      </w:r>
    </w:p>
    <w:p>
      <w:r>
        <w:t>En l'occurrence, le Tribunal cantonal a admis que le recourant pouvait se prévaloir d'une intégration professionnelle en Suisse. Il a retenu que le recourant était au bénéfice d'un contrat de durée indéterminée, qu'il était employé depuis cinq ans par la même entreprise et qu'il donnait satisfaction à son employeur. Le Tribunal cantonal a cependant constaté que le recourant faisait l'objet de poursuites et qu'il n'avait pas respecté l'ordre juridique suisse. Il en a conclu que le recourant ne pouvait pas se prévaloir d'une intégration réussie au sens de l'art. 50 al. 1 let. a LEtr.</w:t>
      </w:r>
    </w:p>
    <w:p>
      <w:r>
        <w:t>Le recourant reproche à l'instance précédente d'avoir qualifié sa situation financière de "largement obérée". Il soutient en particulier que l'instance précédente n'aurait pas tenu compte du plan de recouvrement qu'il avait convenu avec l'Office d'impôt du district de la Broye. Force est toutefois de constater que l'instance cantonale fait état de cet arrangement (cf. arrêt attaqué, p. 7), mais elle considère à bon droit que cet élément ne suffit pas à renverser l'appréciation selon laquelle le refus de payer les impôts constitue un indicateur "défavorable significatif" d'intégration. En effet, selon la directive IV, l'existence de dettes fiscales, qui s'élèvent en l'espèce à plus de vingt mille francs, traduit bien un manque de respect vis-à-vis de l'ordre juridique suisse.</w:t>
      </w:r>
    </w:p>
    <w:p>
      <w:r>
        <w:t>Le recourant a été reconnu coupable d'injures, de menaces, de lésions corporelles simples, d'utilisation abusive d'une installation de télécommunication, de voies de fait, de contrainte et de séquestration. Certes, il estime que le poids de l'ordonnance pénale rendue le 6 mars 2012 aurait dû être relativisé dans l'appréciation globale des circonstances. Il invoque en particulier le peu de gravité de la condamnation pénale ainsi que le pronostic favorable émis par le juge pénal au travers de l'octroi du sursis. Le Tribunal cantonal n'a toutefois pas abusé de son pouvoir d'appréciation en retenant que la condamnation pénale indiquait un manque de volonté d'intégration. Il ressort de l'arrêt attaqué que le recourant s'en est pris physiquement à son épouse à plusieurs reprises, allant même jusqu'à la menacer de mort. Ces faits démontrent un mépris de l'intégrité physique et psychique d'autrui, et plus généralement de l'ordre juridique suisse, ce qui paraît difficilement conciliable avec une intégration réussie. Le peu de gravité de la condamnation ainsi que l'octroi du sursis ne changent rien à ce constat.</w:t>
      </w:r>
    </w:p>
    <w:p>
      <w:r>
        <w:t>La conjonction de ces deux circonstances démontre que l'intégration n'est pas réussie, et ce en dépit de l'activité professionnelle du recourant.</w:t>
      </w:r>
    </w:p>
    <w:p>
      <w:r>
        <w:rPr>
          <w:b/>
        </w:rPr>
        <w:t>E. 2.6</w:t>
      </w:r>
    </w:p>
    <w:p>
      <w:r>
        <w:t>Par conséquent, en jugeant que son intégration n'était pas suffisamment réussie, le Tribunal cantonal a appliqué correctement le droit fédéral. Le grief de la violation de l' art. 50 al. 1 let. a LTF doit donc être rejeté.</w:t>
      </w:r>
    </w:p>
    <w:p>
      <w:r>
        <w:rPr>
          <w:b/>
        </w:rPr>
        <w:t>E. 3</w:t>
      </w:r>
    </w:p>
    <w:p>
      <w:r>
        <w:t>Au vu de ce qui précède, il y a lieu de rejeter le recours. Succombant, le recourant doit supporter les frais judiciaires ( art. 65 et 66 al. 1 LTF ). Il n'y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