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2C_286/2010 vom 28. April 2011</w:t>
      </w:r>
    </w:p>
    <w:p>
      <w:r>
        <w:t>Bundesgericht, 2011-04-28, FR</w:t>
      </w:r>
    </w:p>
    <w:p>
      <w:r>
        <w:rPr>
          <w:b/>
        </w:rPr>
        <w:t xml:space="preserve">Quelle: </w:t>
      </w:r>
      <w:r>
        <w:t>https://mcp.opencaselaw.ch/entscheid/bger_2C_286_2010</w:t>
      </w:r>
    </w:p>
    <w:p>
      <w:r>
        <w:t>FR: TF 2C_286/2010 du 28 avril 2011</w:t>
      </w:r>
    </w:p>
    <w:p>
      <w:r>
        <w:t>IT: TF 2C_286/2010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mémoire complémentaire du 14 mars 2008) à ce qu'un montant de 28'000 fr. (au lieu des 3'000 fr. demandés dans leur mémoire initial) leur soit alloué à chacun à titre de réparation du tort moral. Ces conclusions ne sont que partiellement reprises dans le présent recours, puisque les recourants ne demandent plus que le versement à chacun d'eux d'un montant de 25'000 fr. Devant le Tribunal administratif fédéral, ceux-ci avaient en outre fait valoir des prétentions en indemnisation de la perte de soutien, auxquelles ils ont renoncé dans la présente procédure. Additionnées pour tenir compte de la consorité (2 x 28'000 = 56'000 fr.), les conclusions prises devant l'autorité précédente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On peut se demander si les conclusions des recourants devant le Tribunal de céans, ainsi que la motivation présentée à l'appui de celles-ci, tiennent suffisamment compte du fait que l'autorité précédente n'est entrée en matière sur les prétentions en réparation du tort moral qu'à hauteur de la somme de 3'000 fr. chacun initialement requise. Jusqu'à concurrence de ce montant de 3'000 fr., leurs conclusions ne sauraient toutefois prêter le flanc à la critique d'un point de vue formel, de sorte que la question évoquée ci-dessus ne doit être tranchée que si le Tribunal de céans parvient à la conclusion que les recourants peuvent prétendre, sur le fond, à un montant supérieur.</w:t>
      </w:r>
    </w:p>
    <w:p>
      <w:r>
        <w:rPr>
          <w:b/>
        </w:rPr>
        <w:t>E. 2</w:t>
      </w:r>
    </w:p>
    <w:p>
      <w:r>
        <w:t>Les conditions d'application de la loi fédérale du 14 mars 1958 sur la responsabilité de la Confédération, des membres de ses autorités et de ses fonctionnaires (loi sur la responsabilité; LRCF; RS 170.32) ont été présentées de manière exacte et complète par l'autorité précédente, de sorte qu'il suffit ici de renvoyer aux considérants pertinents de la décision entreprise. Il en va de même pour ce qui a trait à la nature juridique de l'intimée.</w:t>
      </w:r>
    </w:p>
    <w:p>
      <w:r>
        <w:rPr>
          <w:b/>
        </w:rPr>
        <w:t>E. 3.1</w:t>
      </w:r>
    </w:p>
    <w:p>
      <w:r>
        <w:t>Les recourants estiment que le montant adjugé par le Tribunal administratif fédéral est manifestement trop bas. Ils se fondent essentiellement sur les tabelles établies par la doctrine recensant les cas d'adjudication de sommes d'argent à titre de réparation du tort moral (voir not. Klaus Hütte/Petra Ducksch/Alexandre Gross/Kayum Guerrero, Le tort moral: tableaux de jurisprudence comprenant des décisions judiciaires rendues de 1990 à 2005, 3ème éd.). Ils se prévalent également de différentes autres affaires dont la presse s'est faite l'écho et de ce que l'intimée aurait versé des sommes bien plus importantes dans le cadre de la liquidation transactionnelle du litige avec d'autres parties.</w:t>
      </w:r>
    </w:p>
    <w:p>
      <w:r>
        <w:rPr>
          <w:b/>
        </w:rPr>
        <w:t>E. 3.2</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4C.84/2005 du 16 juin 2005 consid. 6).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4C.84/2005, précité, consid. 6).</w:t>
      </w:r>
    </w:p>
    <w:p>
      <w:r>
        <w:t>Si, compte tenu de la recevabilité des conclusions prises devant lui (cf. consid. 1.3 ci-dessus), le Tribunal fédéral ne devait pas pouvoir adjuger plus de 3'000 fr. à chacun des recourants, les considérations qui précèdent laissent déjà planer un doute sur les chances de succès du recours. En effet, cela impliquerait qu'en cas d'admission du recours, le Tribunal de céans ne pourrait modifier qu'à concurrence de 3'000 fr. au plus la somme allouée à titre de réparation du tort moral. Or, une telle modification, ne représentant qu'un supplément de 10% du montant accordé par l'intimée et confirmé par l'autorité précédente, fait sans doute partie de la marge d'appréciation des circonstances du cas d'espèce, dans l'examen desquelles le Tribunal fédéral fait preuve d'une certaine retenue.</w:t>
      </w:r>
    </w:p>
    <w:p>
      <w:r>
        <w:rPr>
          <w:b/>
        </w:rPr>
        <w:t>E. 3.3.1</w:t>
      </w:r>
    </w:p>
    <w:p>
      <w:r>
        <w:t>Le Tribunal administratif fédéral a procédé conformément aux réquisits de la jurisprudence pour fixer l'indemnité due à titre de réparation du tort moral, selon une méthode s'articulant en deux phases (cf. ATF 132 II 117 consid. 2.2.3 p. 120 et les références). La première consiste à déterminer une indemnité de base, de nature abstraite, alors que la seconde implique une adaptation de cette somme aux circonstances du cas d'espèce. Dans ce processus, il convient de ne pas perdre de vue qu'une indemnité pécuniaire sera toujours impropre à compenser la perte d'un proche; elle doit néanmoins être fixée en tentant de prendre en compte l'intensité des relations personnelles entre le défunt et les requérants au moment du décès (arrêt 1C_284/2008 du 1er avril 2009 consid. 5.2). Il faut également rappeler que la détermination concrète de ce qui est dû de ce chef et qui dépend de l'ensemble des circonstances du cas d'espèce rend illusoire toute comparaison linéaire avec d'autres précédents pour tenter d'en déduire un droit ferme à l'adjudication d'une somme supérieure. Ces principes ont été exposés de manière exacte au consid. 10.1.2 de l'arrêt entrepris et il peut y être renvoyé.</w:t>
      </w:r>
    </w:p>
    <w:p>
      <w:r>
        <w:rPr>
          <w:b/>
        </w:rPr>
        <w:t>E. 3.3.2</w:t>
      </w:r>
    </w:p>
    <w:p>
      <w:r>
        <w:t>En premier lieu, les arrêts auxquels l'autorité précédente se réfère à titre d'éléments pour la comparaison de base retiennent des sommes comprises entre 20'000 fr. et 35'000 fr. en cas de perte d'un enfant (cf. ég. Hütte/Ducksch/Gross/Guerrero, op. cit.). La moyenne varie au gré du temps et des cas particuliers mis en évidence par la jurisprudence. Ainsi, les auteurs précités font état, pour la période allant de 1998 à 2000, de montants allant de 20'000 fr. à 25'000 fr. (Vol. 2, III/1 à III/8), pour celle de 2001 à 2002, de sommes de 30'000 fr. à 35'000 fr. (Vol. 2, III/1 à III/7) et pour celle de 2003 à 2005, de montants de 22'000 fr. à 30'000 fr. (Vol. 2, III/1 à III/7). L'affaire à la base de l' ATF 112 II 118 , à laquelle les recourants se réfèrent derechef, n'est pas comparable à la présente espèce, dans la mesure où, comme l'autorité précédente l'a déjà exposé, le parent en question avait alors perdu deux de ses enfants qui avaient été tués par la chute d'un avion. Le choc nerveux subi à cette occasion l'avait au surplus gravement atteint dans sa santé. Ces circonstances divergent largement de la présente espèce.</w:t>
      </w:r>
    </w:p>
    <w:p>
      <w:r>
        <w:rPr>
          <w:b/>
        </w:rPr>
        <w:t>E. 3.3.3</w:t>
      </w:r>
    </w:p>
    <w:p>
      <w:r>
        <w:t>En second lieu, les critères mis en évidence par le Tribunal administratif fédéral pour adapter ces montants abstraits aux particularités de l'espèce sont également pertinents. Il en va ainsi de la faute de l'auteur, du fait que le décès soit survenu loin de la patrie du défunt, de la mort soudaine et inattendue, des problèmes liés au travail de deuil lors de la perte d'un proche, du décès d'un enfant en pleine jeunesse, de la perte des espoirs que les parents avaient placés en lui, du comportement du responsable pendant le procès civil ou pénal etc., aspects qui ont tous été évoqués par le Tribunal administratif fédéral et il peut là aussi être renvoyé aux considérants pertinents de l'arrêt entrepris. Contrairement à ce qu'affirment les recourants, l'autorité précédente a intégré la faute de Skyguide à son raisonnement. On peut se contenter de relever ici que, dans la mesure où le bénéficiaire domicilié à l'étranger serait exagérément avantagé en raison des conditions économiques et sociales existant à son lieu de domicile, il convient d'adapter l'indemnité vers le bas, en précisant toutefois qu'il ne saurait y avoir une correspondance mathématique entre le niveau des salaires au domicile à l'étranger par rapport à celui existant en Suisse et l'impact que cette divergence pourrait avoir sur le montant de l'indemnité pour tort moral ( ATF 125 II 554 consid. 4b p. 560; 123 III 10 consid. 4 p. 11 ss). Le Tribunal administratif fédéral, comme Skyguide, ne s'est pas étendu plus avant sur cet élément qui a néanmoins été évoqué.</w:t>
      </w:r>
    </w:p>
    <w:p>
      <w:r>
        <w:rPr>
          <w:b/>
        </w:rPr>
        <w:t>E. 3.3.4</w:t>
      </w:r>
    </w:p>
    <w:p>
      <w:r>
        <w:t>Les autres arguments des recourants relatifs à la fixation du montant de la réparation du tort moral sont soit dénués de pertinence (ainsi p. ex. les condamnations soi-disant prononcées par le Tribunal de Saint-Nazaire dans l'affaire du Queen Elisabeth II au titre du préjudice d'angoisse ou la non-application de la loi fédérale du 23 mars 2007 sur l'aide aux victimes d'infractions [LAVI; RS 312.5] au cas d'espèce), soit difficilement compréhensibles. Le fait que l'intimée, dans le cadre de la liquidation transactionnelle du litige avec certains proches de victimes leur aurait adjugé des montants supérieurs à ceux obtenus par la voie judiciaire n'est pas davantage pertinent. C'est en effet le propre de la transaction que de reposer sur une estimation des risques d'un procès, ainsi que du temps, du coût et de l'énergie qu'implique son suivi. Tous ces éléments interfèrent sur la proposition transactionnelle, comme d'autres considérations de nature plus immatérielle, telles que, par exemple, la volonté d'afficher publiquement le fait d'assumer volontairement les conséquences de ses actes.</w:t>
      </w:r>
    </w:p>
    <w:p>
      <w:r>
        <w:rPr>
          <w:b/>
        </w:rPr>
        <w:t>E. 3.3.5</w:t>
      </w:r>
    </w:p>
    <w:p>
      <w:r>
        <w:t>Les recourants n'ayant pas droit, sur le fond, à un montant supérieur à la somme de 30'000 fr. chacun que l'intimée a accepté de leur verser au titre de la réparation du tort moral par décisions du 11 décembre 2006, la question de la recevabilité des conclusions soulevée au consid. 1.3 ci-dessus peut demeurer indécise.</w:t>
      </w:r>
    </w:p>
    <w:p>
      <w:r>
        <w:rPr>
          <w:b/>
        </w:rPr>
        <w:t>E. 4</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