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284/2018 vom 5. April 2018</w:t>
      </w:r>
    </w:p>
    <w:p>
      <w:r>
        <w:t>Bundesgericht, 2018-04-05, FR</w:t>
      </w:r>
    </w:p>
    <w:p>
      <w:r>
        <w:rPr>
          <w:b/>
        </w:rPr>
        <w:t xml:space="preserve">Quelle: </w:t>
      </w:r>
      <w:r>
        <w:t>https://mcp.opencaselaw.ch/entscheid/bger_2C_284_2018</w:t>
      </w:r>
    </w:p>
    <w:p>
      <w:r>
        <w:t>FR: TF 2C 284/2018 du 5 avril 2018</w:t>
      </w:r>
    </w:p>
    <w:p>
      <w:r>
        <w:t>IT: TF 2C 284/2018 del 5 aprile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A.X.________, né en 1974, est ressortissant bolivien. Il a épousé une compatriote au bénéfice d'une autorisation d'établissement le 10 février 2003, et obtenu une autorisation de séjour pour regroupement familial. De cette union sont issus deux enfants, B.X.________, né en 2001, et C.X.________, née en 2004. Les époux se sont séparés en 2004, puis ont repris la vie commune en 2008 et se sont définitivement séparés en 2012. La mère a la garde des enfants, qui ont conservé des relations affectives étroites avec leur père, ce dernier ne versant toutefois pas les contributions d'entretien auxquelles il a été astreint par la justice civile en leur faveur. Il a été condamné pénalement à de multiples reprises, en 2007, pour lésions corporelles simples qualifiées et escroquerie, en 2008, pour voies de fait qualifiées sur son épouse, en 2013, pour violation grave des règles sur la circulation routière, en 2014, pour usure, en 2015, pour violation simple des règles sur la circulation routière (conduite en état d'ébriété), et, en 2016, pour escroquerie, utilisation frauduleuse d'un ordinateur, faux dans les titres, faux dans les certificats. A.X.________ a également hébergé sa fille, D.X.________, de nationalité bolivienne, et sa petite fille E.X.________, née en 2015, toutes deux dépourvues d'autorisation de séjour selon la décision du 12 janvier 2012 du Service cantonal la population du canton de Vaud. Il s'est vu confier à titre provisoire par la Justice de paix la garde de sa petite-fille depuis le 18 avril 2016. Par décision du 22 août 2016, le Service cantonal la population du canton de Vaud a refusé de prolonger l'autorisation de séjour de A.X.________.</w:t>
      </w:r>
    </w:p>
    <w:p>
      <w:r>
        <w:rPr>
          <w:b/>
        </w:rPr>
        <w:t>E. 2</w:t>
      </w:r>
    </w:p>
    <w:p>
      <w:r>
        <w:t>Par arrêt du 21 février 2018, le Tribunal cantonal du canton de Vaud a rejeté le recours que A.X.________ a déposé contre la décision du 22 août 2016. Les conditions des art. 50 al. 1 let. a et 50 al. 1 let. b LEtr pour autoriser la poursuite du séjour n'étaient pas remplies. Celles de l' art. 8 CEDH garantissant la vie de famille ne l'étaient pas non plus en l'absence de relations économiques étroites avec les enfants et en l'absence de comportement irréprochable de l'intéressé.</w:t>
      </w:r>
    </w:p>
    <w:p>
      <w:r>
        <w:rPr>
          <w:b/>
        </w:rPr>
        <w:t>E. 3</w:t>
      </w:r>
    </w:p>
    <w:p>
      <w:r>
        <w:t>Agissant par la voie du recours en matière de droit public, A.X.________ demande au Tribunal fédéral, sous suite de frais et dépens, de réformer l'arrêt rendu le 21 février 2018 par le Tribunal cantonal du canton de Vaud en ce sens que son autorisation de séjour est renouvelée. Il demande l'effet suspensif. Il se plaint de la violation de l'art. 50 al. 1 let. b LEtr en lien avec la violation des art. 8 par. 1 CEDH et 13 al. 1 Cst. Il se plaint de ce que l'instance précédente n'a pas pris en considération le fait qu'il assumait la garde alternée de son fils B.X.________ et la garde pleine et entière de sa petite-fille, et partant les frais de logement et d'entretien, ce qui équivalait à des liens économiques étroits. Il se plaint de la violation du principe de proportionnalité dans la pesée des intérêts relatifs à la contrariété à l'ordre public. Il n'a pas été ordonné d'échange des écritures.</w:t>
      </w:r>
    </w:p>
    <w:p>
      <w:r>
        <w:rPr>
          <w:b/>
        </w:rPr>
        <w:t>E. 4.1</w:t>
      </w:r>
    </w:p>
    <w:p>
      <w:r>
        <w:t>Comme l'a jugé à bon droit l'instance précédente, pour qui la réintégration du recourant dans son pays d'origine ne pouvait pas être qualifiée de fortement compromise, celui-ci ne peut pas se prévaloir d'autres raisons personnelles majeures, au sens de l'art. 50 al. 1 let. b LEtr, que celles tirées de ses relations, exercées par le biais d'un droit de visite, avec ses enfants mineurs, dont il n'a pas la garde. A la date de l'arrêt attaqué, la convention prévoyant la garde partagée sur B.X.________ et la garde exclusive de la mère sur C.X.________ n'était pas encore ratifiée par le juge civil ( art. 105 al. 1 LTF ) et les faits nouveaux ne sont pas admissibles devant le Tribunal fédéral ( art. 99 al. 1 LTF ).</w:t>
      </w:r>
    </w:p>
    <w:p>
      <w:r>
        <w:rPr>
          <w:b/>
        </w:rPr>
        <w:t>E. 4.2</w:t>
      </w:r>
    </w:p>
    <w:p>
      <w:r>
        <w:t>Selon la jurisprudence récente (arrêt 2C_821/2016 du 2 février 2018 qui sera publié aux ATF),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 ATF 135 I 153 consid. 2.2.1) ou lorsque seule une atteinte de peu d'importance à l'ordre public est reprochée tandis qu'un lien affectif et économique particulièrement fort avec l'enfant est établi ( ATF 140 I 143 ).</w:t>
      </w:r>
    </w:p>
    <w:p>
      <w:r>
        <w:rPr>
          <w:b/>
        </w:rPr>
        <w:t>E. 4.3</w:t>
      </w:r>
    </w:p>
    <w:p>
      <w:r>
        <w:t>Contrairement à ce qu'il semble croire, le recourant ne peut se prévaloir que de ses relations avec ses enfants mineurs B.X.________ et C.X.________, à l'exclusion de celles qu'il entretient avec sa petite-fille E.X.________, parce que celle-ci ne dispose pas d'un droit de séjour durable en Suisse. Pour le surplus, il y a lieu de confirmer l'arrêt de l'instance précédente, au contenu duquel il peut être renvoyé ( art. 109 al. 3 LTF ), qui a jugé à bon droit que la nature, la gravité et la fréquence des infractions pénales commises par le recourant ne lui permettaient pas de se prévaloir d'un comportement irréprochable au sens de la jurisprudence rappelée ci-dessus. Cette seule circonstance l'emporte en effet largement dans l'examen global de la situation du recourant sur les autres considérations affectives et économiques de sorte que ce dernier ne peut pas se prévaloir du droit à la vie de famille garanti par l' art. 8 CEDH pour obtenir le renouvellement de son autorisation de séjour en Suisse.</w:t>
      </w:r>
    </w:p>
    <w:p>
      <w:r>
        <w:rPr>
          <w:b/>
        </w:rPr>
        <w:t>E. 5</w:t>
      </w:r>
    </w:p>
    <w:p>
      <w:r>
        <w:t>Les considérants qui précèdent conduisent au rejet du recours manifestement mal fondé, en application de la procédure simplifiée de l' art. 109 LTF . La requête d'effet suspensif est devenue sans objet.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