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2C_283/2021 vom 30. September 2021</w:t>
      </w:r>
    </w:p>
    <w:p>
      <w:r>
        <w:t>Bundesgericht, 2021-09-30, DE</w:t>
      </w:r>
    </w:p>
    <w:p>
      <w:r>
        <w:rPr>
          <w:b/>
        </w:rPr>
        <w:t xml:space="preserve">Quelle: </w:t>
      </w:r>
      <w:r>
        <w:t>https://mcp.opencaselaw.ch/entscheid/bger_2C_283_2021</w:t>
      </w:r>
    </w:p>
    <w:p>
      <w:r>
        <w:t>FR: TF 2C_283/2021 du 30 septembre 2021</w:t>
      </w:r>
    </w:p>
    <w:p>
      <w:r>
        <w:t>IT: TF 2C_283/2021 del 30 settembre 2021</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Einzutreten ist auf Beschwerden, die sich gegen die Nichtverlängerung einer Aufenthaltsbewilligung richten, sofern in vertretbarer Weise ein Anspruch auf eine Verlängerung geltend gemacht wird; ob die jeweiligen Voraussetzungen tatsächlich gegeben sind, bildet Gegenstand der materiellen Beurteilung ( BGE 139 I 330 E. 1.1; 136 II 177 E. 1.1, 497 E. 3.3).</w:t>
      </w:r>
    </w:p>
    <w:p>
      <w:r>
        <w:rPr>
          <w:b/>
        </w:rPr>
        <w:t>E. 1.2</w:t>
      </w:r>
    </w:p>
    <w:p>
      <w:r>
        <w:t>Die Beschwerdeführerin beruft sich in vertretbarer Weise einerseits auf Art. 50 Abs. 1 lit. a AIG (SR 142.20) und andererseits auf den Schutz des Privat- und Familienlebens gemäss Art. 8 EMRK . Die Beschwerde in öffentlich-rechtlichen Angelegenheiten ist zulässig und die Beschwerdeführerin dazu legitimiert ( Art. 86 Abs. 1 lit. d und Abs. 2, Art. 89 Abs. 1 und Art. 90 BGG ). Auf die im Übrigen frist- und formgerecht eingereichte Beschwerde ( Art. 42 und Art. 100 Abs. 1 BGG ) ist einzutreten. Es erübrigt sich insofern die eventuell subsidiär eingereichte Verfassungsbeschwerde zu prüfen. Der Antrag auf Verlängerung der Ausreisefrist ist nicht zulässig, da er die Wegweisung betrifft ( Art. 83 lit. c Ziff. 4 BGG ).</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w:t>
      </w:r>
    </w:p>
    <w:p>
      <w:r>
        <w:rPr>
          <w:b/>
        </w:rPr>
        <w:t>E. 3</w:t>
      </w:r>
    </w:p>
    <w:p>
      <w:r>
        <w:t>Die Beschwerdeführerin macht geltend, dass ihr ein Anspruch auf Verlängerung der Aufenthaltsbewilligung gestützt auf Art. 50 Abs. 1 lit. a AIG zustehe.</w:t>
      </w:r>
    </w:p>
    <w:p>
      <w:r>
        <w:rPr>
          <w:b/>
        </w:rPr>
        <w:t>E. 3.1</w:t>
      </w:r>
    </w:p>
    <w:p>
      <w:r>
        <w:t>Ausländische Ehegatten von Schweizerinnen und Schweizern ( Art. 42 AIG ) haben, unter Vorbehalt von Erlöschensgründen ( Art. 51 Abs. 1 AIG ), Anspruch auf Erteilung und Verlängerung ihrer Aufenthaltsbewilligung, soweit sie mit diesen zusammenwohnen oder, bei fortdauernder Ehegemeinschaft, ein wichtiger Grund für das Getrenntleben besteht ( Art. 49 AIG ). Im vorliegenden Fall ist unbestritten, dass die Beschwerdeführerin seit dem 1. August 2010 getrennt von ihrem Schweizer Ehemann lebt, ohne dass die Voraussetzungen von Art. 49 AIG erfüllt wären. Sie kann sich deshalb nicht auf Art. 42 Abs. 1 AIG berufen.</w:t>
      </w:r>
    </w:p>
    <w:p>
      <w:r>
        <w:rPr>
          <w:b/>
        </w:rPr>
        <w:t>E. 3.2</w:t>
      </w:r>
    </w:p>
    <w:p>
      <w:r>
        <w:t>Nach Auflösen bzw. definitivem Scheitern der Ehe besteht der Bewilligungsanspruch fort, wenn das Zusammenleben mindestens drei Jahre gedauert und die betroffene Person sich hier erfolgreich integriert hat ( Art. 50 Abs. 1 lit. a AIG ["Integrationsklausel"]; vgl. BGE 140 II 289 E. 3). Des Weiteren kann das in Art. 8 EMRK geschützte Recht auf Achtung des Privat- und Familienlebens einen solchen Anspruch begründen, wenn einer Ausländerin, deren Familienangehörige mit gefestigtem Aufenthaltsrecht hier weilen, die Anwesenheit untersagt und damit das Familienleben vereitelt wird ( BGE 144 I 91 E. 4.2).</w:t>
      </w:r>
    </w:p>
    <w:p>
      <w:r>
        <w:rPr>
          <w:b/>
        </w:rPr>
        <w:t>E. 3.3</w:t>
      </w:r>
    </w:p>
    <w:p>
      <w:r>
        <w:t>Eine im Sinne von Art. 50 Abs. 1 lit. a AIG (in der Fassung vom 1. Januar 2019) erfolgreiche Integration ist gegeben, wenn die in Art. 58a AIG verankerten Integrationskriterien erfüllt sind. Diese seit 1. Januar 2019 in Kraft stehende Bestimmung ist anwendbar, da das Gesuch um Verlängerung der Aufenthaltsbewilligung im Juni 2019 gestellt wurde (vgl. Art. 126 Abs. 1 AIG ).</w:t>
      </w:r>
    </w:p>
    <w:p>
      <w:r>
        <w:t>Gemäss Art. 58a Abs. 1 AIG liegt eine erfolgreiche Integration vor, wenn die Ausländerin oder der Ausländer namentlich die rechtsstaatliche Ordnung und die Werte der Bundesverfassung respektiert (lit. a und b), sowie den Willen zur Teilnahme am Wirtschaftsleben und zum Erwerb der am Wohnort gesprochenen Landessprache bekundet (lit. c und d). Gemäss Art. 58a Abs. 2 AIG ist der Situation von Personen, welche die Integrationskriterien von Art. 58a Abs. 1 AIG der Sprachkompetenzen (lit. c) und der Teilnahme am Wirtschaftsleben oder am Erwerb von Bildung (lit. d) aufgrund einer Behinderung, Krankheit oder anderen gewichtigen persönlichen Umständen nicht oder nur unter erschwerten Bedingungen erfüllen können, angemessen Rechnung zu tragen.</w:t>
      </w:r>
    </w:p>
    <w:p>
      <w:r>
        <w:rPr>
          <w:b/>
        </w:rPr>
        <w:t>E. 3.4</w:t>
      </w:r>
    </w:p>
    <w:p>
      <w:r>
        <w:t>Grundsätzlich liegt keine erfolgreiche Integration vor, wenn eine Person kein Erwerbseinkommen erwirtschaften kann, welches ihren Konsum zu decken vermag, und während einer substanziellen Zeitdauer von Sozialleistungen abhängig ist (Urteile 2C_748/2014 vom 12. Januar 2015 E.3.2; 2C_857/2010 vom 22. August 2011 E. 2.3.1; 2C_546/2010 vom 30. November 2010 E. 5.2.3 f.). Nicht erforderlich ist eine besonders qualifizierte berufliche Karriere (Urteil 2C_430/2011 vom 11. Oktober 2011 E. 4.2). Die Sprachkenntnisse sind am sozioprofessionellen Umfeld zu messen; genügen sie für diese, kann der Grad der Sprachbeherrschung dem Betroffenen nicht entgegen gehalten werden (Urteil 2C_839/2010 vom 25. Februar 2011 E. 7.1.2).</w:t>
      </w:r>
    </w:p>
    <w:p>
      <w:r>
        <w:rPr>
          <w:b/>
        </w:rPr>
        <w:t>E. 3.5</w:t>
      </w:r>
    </w:p>
    <w:p>
      <w:r>
        <w:t>Die Vorinstanz stellt nicht in Frage, dass die Eheleute mehr als drei Jahre zusammengelebt hätten, verneint jedoch einen Anspruch auf Verlängerung der Aufenthaltsbewilligung gestützt auf Art. 50 Abs. 1 lit. a AIG mit der Begründung, dass eine "offensichtlich ungenügende Verwurzelung" in den "hiesigen Verhältnissen" bestehe.</w:t>
      </w:r>
    </w:p>
    <w:p>
      <w:r>
        <w:rPr>
          <w:b/>
        </w:rPr>
        <w:t>E. 3.6</w:t>
      </w:r>
    </w:p>
    <w:p>
      <w:r>
        <w:t>Die Beurteilung der Vorinstanz ist nicht zu beanstanden:</w:t>
      </w:r>
    </w:p>
    <w:p>
      <w:r>
        <w:rPr>
          <w:b/>
        </w:rPr>
        <w:t>E. 3.6.1</w:t>
      </w:r>
    </w:p>
    <w:p>
      <w:r>
        <w:t>Angesichts der von August 2003 bis August 2020 ununterbrochenen Sozialhilfeabhängigkeit der Beschwerdeführerin muss die wirtschaftliche Integration als gescheitert qualifiziert werden. Der Einwand, dass keine mutwillig verursachten Schulden vorlägen, ändert an dieser Feststellung nichts. Die Beschwerdeführerin geht auch fehl, wenn sie davon ausgeht, dass die Integrationsbeurteilung immer im Rahmen einer zukunftsgerichteten Gesamtbetrachtung im Entscheidzeitpunkt zu erfolgen habe. Die Integration einer Ausländerin ist insofern nicht schon deshalb als gelungen zu qualifizieren, weil sie sich nach fast siebzehnjähriger staatlicher Unterstützung von der Sozialhilfe abgemeldet hat, keine Vorstrafen bestehen, sowie Grundkenntnisse der deutschen Sprache vorliegen. Wenn der Beschwerdeführerin zwar positiv anzurechnen ist, dass sie mit der Verrichtung der Hausarbeit und der Erziehung von zwei Kindern, ab 2010 als alleinstehende Mutter, eine grundlegende und notwendige Arbeit wahrgenommen hat, so bestanden soweit ersichtlich keine unüberwindbaren Hürden, welche ihr den Einstieg in den Schweizer Arbeitsmarkt verwehrt hätten.</w:t>
      </w:r>
    </w:p>
    <w:p>
      <w:r>
        <w:rPr>
          <w:b/>
        </w:rPr>
        <w:t>E. 3.6.2</w:t>
      </w:r>
    </w:p>
    <w:p>
      <w:r>
        <w:t>In diesem Zusammenhang ist darauf hinzuweisen, dass ausländerrechtlich einer alleinerziehenden Mutter etwa nach dem 3. Altersjahr des Kindes grundsätzlich eine Erwerbstätigkeit zugemutet wird, wobei grundsätzlich auch Fremdbetreuungskosten entscheidwesentlich sein können (vgl. Urteil vom 2C_1228/2012 vom 20. Juni 2013 E. 5.4). Da die zwei Töchter der Beschwerdeführerin bei ihrer Einreise in die Schweiz schon vier, beziehungsweise sechs Jahre alt waren, muss die Beschwerdeführerin sich insofern entgegen halten lassen, dass sie erst im September 2009, ein knappes Jahr nach der mit Blick auf ihre Sozialhilfeabhängigkeit ausgesprochenen ausländerrechtlichen Verwarnung, eine Teilzeitbeschäftigung im zweiten Arbeitsmarkt aufgenommen hat. Einer früheren Aufnahme der Berufstätigkeit standen insbesondere auch keine gesundheitlichen Probleme entgegen, da solche erst seit November 2011 aktenkundig sind.</w:t>
      </w:r>
    </w:p>
    <w:p>
      <w:r>
        <w:rPr>
          <w:b/>
        </w:rPr>
        <w:t>E. 3.6.3</w:t>
      </w:r>
    </w:p>
    <w:p>
      <w:r>
        <w:t>Zu Ungunsten einer erfolgreichen Integrierung sprechen ferner die mangelhaften Sprachkenntnisse der Beschwerdeführerin nach einer ungefähr 18-jährigen Anwesenheit in der Schweiz. So hat sie zwar von November 2004 bis Februar 2005 einen Deutschkurs für fremdsprachige Frauen belegt, ihre mangelnden Deutschkenntnissen waren jedoch mit ausschlaggebend dafür, dass ihr der Einstieg in den ersten Arbeitsmarkt auch nach Absolvierung eines Arbeitsvermittlungsprogramms und einer langjährigen Präsenz in der Schweiz nicht gelang. Nach dem Gesagten mangelt es insofern im Rahmen einer Gesamtbetrachtung an der erforderlichen Integration gemäss Art. 50 Abs. 1 lit. a AIG in Verbindung mit Art. 58a Abs. 1 AIG . Wenn zwar im Lichte von Art. 58a Abs. 2 AIG zu berücksichtigen ist, dass die Beschwerdeführerin unter gesundheitlichen Problemen leidet, welche insbesondere dazu führten, dass ihr im Jahre 2012 eine Hüft-Totalprothese eingesetzt werden musste, so vermögen diese Umstände nicht die Beurteilung der Vorinstanz zu entkräften, es liege keine erfolgreiche Integration vor.</w:t>
      </w:r>
    </w:p>
    <w:p>
      <w:r>
        <w:t>Der Beschwerdeführerin kommt daher kein eigenständiger, nachehelicher Aufenthaltsanspruch gestützt auf Art. 50 Abs. 1 lit. a AIG zu. Im Übrigen liegt auch kein Härtefall im Sinne von Art. 50 Abs. 1 lit. b AIG vor.</w:t>
      </w:r>
    </w:p>
    <w:p>
      <w:r>
        <w:rPr>
          <w:b/>
        </w:rPr>
        <w:t>E. 4</w:t>
      </w:r>
    </w:p>
    <w:p>
      <w:r>
        <w:t>Zu prüfen ist des Weiteren, ob die Beschwerdeführerin aufgrund eines besonderen Abhängigkeitsverhältnis zwischen ihr und ihren Töchtern, beziehungsweise aufgrund der engen und echten Beziehung zu diesen ein Aufenthaltsrecht gestützt auf Art. 8 EMRK erwächst.</w:t>
      </w:r>
    </w:p>
    <w:p>
      <w:r>
        <w:rPr>
          <w:b/>
        </w:rPr>
        <w:t>E. 4.1</w:t>
      </w:r>
    </w:p>
    <w:p>
      <w:r>
        <w:t>Das Recht auf Achtung des Familienlebens im Sinne von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Zum geschützten Familienkreis gehört in erster Linie die Kernfamilie, d.h. die Gemeinschaft der Ehegatten mit ihren minderjährigen Kindern ( BGE 145 I 227 E. 5.3). Das Verhältnis zwischen Eltern und ihren volljährigen Kindern ist nur geeignet, einen Bewilligungsanspruch zu begründen, falls - über die üblichen Bindungen im Eltern-Kind-Verhältnis hinaus - ein besonderes Abhängigkeitsverhältnis besteht ( BGE 129 II 11 E. 2; 120 Ib 257 E. 1d und e). Ein solches kann sich aus Betreuungs- oder Pflegebedürfnissen bei körperlichen oder geistigen Behinderungen und schwerwiegenden Krankheiten ergeben.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den in der Schweiz anwesenheitsberechtigten Angehörigen erbracht werden muss (vgl. Urteile 2C_401/2017 vom 26. März 2018 E. 5.3.1; 2C_5/2017 vom 23. Juni 2017 E. 2). Liegt kein derartiges Verhältnis vor, ist der Schutzbereich von Art. 8 Ziff. 1 EMRK bzw. Art. 13 Abs. 1 BV (Familienleben) nicht berührt (vgl. 2A.20/2002 vom 13. Mai 2002 E. 1.3 mit Hinweisen).</w:t>
      </w:r>
    </w:p>
    <w:p>
      <w:r>
        <w:rPr>
          <w:b/>
        </w:rPr>
        <w:t>E. 4.2</w:t>
      </w:r>
    </w:p>
    <w:p>
      <w:r>
        <w:t>Die Vorinstanz führte diesbezüglich aus, dass zwar unstreitig eine enge Beziehung zwischen der Beschwerdeführerin und ihren im gleichen Haushalt lebenden volljährigen Töchtern bestehe. Soweit ersichtlich, sei dies jedoch in erster Linie auf die finanzielle Lage der Beschwerdeführerin und ihrer jüngsten, sich noch in der Berufsausbildung befindenden Tochter zurückzuführen. Dass die Beschwerdeführerin auf die Betreuung ihrer beiden Tochter angewiesen wäre, sei nicht substanziiert dargetan worden. Die Beschwerdeführerin habe insbesondere anfangs Oktober 2019 noch ausgesagt, den Haushalt zu machen und von den Töchtern primär beim Schreiben von Bewerbungen unterstützt zu werden, was kein besonderes Abhängigkeitsverhältnis belegt. Ausserdem sei die Beschwerdeführerin gesundheitlich nicht derart beeinträchtigt, dass sie auf regelmässige Pflege und Betreuung angewiesen wäre.</w:t>
      </w:r>
    </w:p>
    <w:p>
      <w:r>
        <w:rPr>
          <w:b/>
        </w:rPr>
        <w:t>E. 4.3</w:t>
      </w:r>
    </w:p>
    <w:p>
      <w:r>
        <w:t>Was die Beschwerdeführerin dagegen einwendet, verfängt nicht.</w:t>
      </w:r>
    </w:p>
    <w:p>
      <w:r>
        <w:t>Sie legt nicht dar, dass und inwiefern ausschliesslich ihre Töchter ihr aufgrund ihrer gesundheitlichen Einschränkungen behilflich sein können. Sowohl das Tragen von schweren Gegenständen sowie die alltägliche Hilfe bei der Verrichtung von Hausarbeit und Einkäufen können ohne Weiteres auch von anderen Personen ausgeführt werden. So wird mithin weder dargetan noch in irgendeiner Weise belegt, dass die psychische Abhängigkeit dergestalt sei, dass ein Zusammenleben unabdingbar wäre und der Schutzbereich von Art. 8 EMRK / Art. 13 BV eröffnet wäre.</w:t>
      </w:r>
    </w:p>
    <w:p>
      <w:r>
        <w:t>Schliesslich geht auch das Argument fehl, dass Eltern, die mit ihren erwachsenen Kindern zusammenleben und zu diesen eine besonders intensive Beziehung pflegen, schlechter gestellt wären als Konkubinatspartner (vgl. Urteil 2C_702/2011 vom 23. Februar E. 3.1). Eine enge und tatsächlich gelebte Beziehung zwischen Eltern und ihren erwachsenen Kindern, ist, ohne dass ein besonderes Abhängigkeitsverhältnis vorläge, unzureichend, um einen Aufenthaltsanspruch gestützt auf Art. 8 EMRK begründen zu können.</w:t>
      </w:r>
    </w:p>
    <w:p>
      <w:r>
        <w:rPr>
          <w:b/>
        </w:rPr>
        <w:t>E. 5</w:t>
      </w:r>
    </w:p>
    <w:p>
      <w:r>
        <w:t>Nach dem Gesagten ist festzuhalten, dass die Beschwerdeführerin weder gestützt auf Bundesrecht noch auf Konventionsrecht einen Aufenthaltsanspruch ableiten kann. Im Übrigen würde selbst bei Bejahung eines grundsätzlichen Anspruchs der Widerrufsgrund nach Art. 62 Abs. 1 lit. e i.V.m. Art. 51 Abs. 2 lit. b AIG vorliegen und die Verweigerung verhältnismässig erscheinen. Bei dieser Sachlage ist die Beschwerde abzuweisen.</w:t>
      </w:r>
    </w:p>
    <w:p>
      <w:r>
        <w:rPr>
          <w:b/>
        </w:rPr>
        <w:t>E. 6</w:t>
      </w:r>
    </w:p>
    <w:p>
      <w:r>
        <w:t>Die Beschwerde erweist sich nach dem Gesagten als unbegründet. Sie ist abzuweisen. Die Verfahrenskosten sind nach dem oben Ausgeführten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