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282/2017 vom 4. Dezember 2017</w:t>
      </w:r>
    </w:p>
    <w:p>
      <w:r>
        <w:t>Bundesgericht, 2017-12-04, FR</w:t>
      </w:r>
    </w:p>
    <w:p>
      <w:r>
        <w:rPr>
          <w:b/>
        </w:rPr>
        <w:t xml:space="preserve">Quelle: </w:t>
      </w:r>
      <w:r>
        <w:t>https://mcp.opencaselaw.ch/entscheid/bger_2C_282_2017</w:t>
      </w:r>
    </w:p>
    <w:p>
      <w:r>
        <w:t>FR: TF 2C 282/2017 du 4 décembre 2017</w:t>
      </w:r>
    </w:p>
    <w:p>
      <w:r>
        <w:t>IT: TF 2C 282/2017 del 4 dicembre 2017</w:t>
      </w:r>
    </w:p>
    <w:p>
      <w:pPr>
        <w:pStyle w:val="Heading2"/>
      </w:pPr>
      <w:r>
        <w:t>Regeste</w:t>
      </w:r>
    </w:p>
    <w:p>
      <w:r>
        <w:t>Répartition du produit d'amendes infligées par les services municipaux recouvré par le service cantonal des contraventions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142 V 551 consid. 1 p. 555).</w:t>
      </w:r>
    </w:p>
    <w:p>
      <w:r>
        <w:rPr>
          <w:b/>
        </w:rPr>
        <w:t>E. 1.1</w:t>
      </w:r>
    </w:p>
    <w:p>
      <w:r>
        <w:t>Formé contre un arrêt final ( art. 90 LTF ) pris en dernière instance cantonale ( art. 86 al. 1 let . d LTF) sur la base du droit public cantonal ( art. 82 let. a LTF ), le présent recours est en principe recevable comme recours en matière de droit public au sens des art. 82 ss LTF , aucune des exceptions prévues à l' art. 83 LTF n'étant réalisée.</w:t>
      </w:r>
    </w:p>
    <w:p>
      <w:r>
        <w:rPr>
          <w:b/>
        </w:rPr>
        <w:t>E. 1.2</w:t>
      </w:r>
    </w:p>
    <w:p>
      <w:r>
        <w:t>La Ville de Genève fonde sa qualité pour recourir sur la disposition générale de l' art. 89 al. 1 LTF , au motif que l'arrêt attaqué la toucherait dans ses prérogatives de puissance publique et qu'elle disposerait d'un intérêt public propre digne de protection à l'annulation ou à la modification de l'acte attaqué (cf. ATF 140 I 90 consid. 1.2.2 p. 93; 138 I 143 consid. 1.3.1 p. 149; 138 II 506 consid. 2.1.1 p. 508). Tel est le cas lorsqu'un acte de puissance publique concerne des intérêts publics essentiels dans un domaine qui relève de la compétence de l'autorité ( ATF 137 IV 269 consid. 1.4 p. 274; 136 II 383 consid. 2.4 p. 386; 136 V 346 consid. 3.3.2 p. 349; 135 II 12 consid. 1.2.2 p. 15 s.). N'importe quel intérêt financier découlant directement ou indirectement de l'exécution de tâches d'intérêt public ne permet pas non plus à la commune de se fonder sur l' art. 89 al. 1 LTF ( ATF 140 I 90 consid. 1.2.2 p. 93; 134 II 45 consid. 2.2.1 p. 47 et les références citées). L'atteinte à des intérêts centraux peut en revanche exister en présence d'intérêts patrimoniaux d'importance (cf. ATF 141 II 161 consid. 2.3 p. 165 s.; 140 I 90 consid. 1.2.2 p. 93 s.; arrêt 2C_931/2010 du 28 mars 2011 consid. 2.5). Il faut dans ce cas que la commune soit touchée dans ses intérêts centraux liés à sa puissance publique ( ATF 140 I 90 consid. 1.2.4 p. 94; 138 II 506 consid. 2.1.1 p. 509). L'atteinte à des intérêts centraux est présumée exister en présence de décisions mettant en cause la péréquation cantonale ou intercommunale (cf. ATF 135 I 43 consid. 1.3 p. 47; 135 II 156 consid. 3.3 p. 160). D'une manière générale, l'exigence selon laquelle la commune doit être affectée de manière qualifiée dans ses intérêts de puissance publique se comprend comme une clause de minimis ; celle-ci vise à éviter que le Tribunal fédéral ne doive entrer en matière sur des cas-bagatelle qui sont soulevés par des collectivités publiques ne pouvant pas se fonder sur les voies de recours qui leur sont spécifiquement réservées à l' art. 89 al. 2 LTF ( ATF 140 I 90 consid. 1.2.4 p. 94). En l'occurrence, selon l'art. 12 al. 1 de la loi d'application de la législation fédérale sur la circulation routière (LaLCR; RS/GE H 1 05), les services de gendarmerie sont compétents pour infliger les amendes d'ordre prévues par la législation fédérale sur les amendes d'ordre infligées aux usagers de la route. L'art. 18 al. 2 de la loi sur les agents de la police municipale, les contrôleurs municipaux du stationnement et les gardes auxiliaires des communes (LAPM; RS/GE F 1 07) prévoit que si le contrevenant ne paie pas l'amende d'ordre, l'engagement de la procédure ordinaire est de la compétence du service des contraventions, qui procède alors au recouvrement. L'art. 17 du règlement sur les agents de la police municipale (RAPM; RS/GE F 1 07.01) précise enfin que le produit des amendes infligées par leurs agents reste intégralement acquis aux communes (al. 1) et que lorsque le recouvrement de l'amende est effectué par l'Etat, celui-ci en rétrocède le montant de base à la commune (al. 2). Il suit de ces dispositions que la commune a un intérêt juridique évident à pouvoir faire valoir la rétrocession du produit des amendes infligées. Compte tenu de l'importance du montant réclamé par la recourante (15'227'000 fr.), il ne fait aucun doute que le refus d'entrer en matière a une incidence directe sur l'équilibre financier de la commune et qu'il la touche dans ses intérêts centraux de puissance publique. On ne saurait, en pareille situation, parler d'un cas-bagatelle au sens de la jurisprudence précitée. Par conséquent, il y a lieu de reconnaître à la Ville de Genève la qualité pour recourir sur la base de la clause générale de l' art. 89 al. 1 LTF .</w:t>
      </w:r>
    </w:p>
    <w:p>
      <w:r>
        <w:rPr>
          <w:b/>
        </w:rPr>
        <w:t>E. 1.3</w:t>
      </w:r>
    </w:p>
    <w:p>
      <w:r>
        <w:t>Pour le surplus, le recours a été formé en temps utile ( art. 100 al. 1 LTF ) et dans les formes prescrites par la loi ( art. 42 LTF ); il convient donc d'entrer en matière.</w:t>
      </w:r>
    </w:p>
    <w:p>
      <w:r>
        <w:rPr>
          <w:b/>
        </w:rPr>
        <w:t>E. 1.4</w:t>
      </w:r>
    </w:p>
    <w:p>
      <w:r>
        <w:t>Les juges cantonaux ayant refusé d'entrer en matière sur le recours, seule la question de la recevabilité du recours cantonal peut donc être portée devant le Tribunal fédéral qui n'a, à ce stade, pas à examiner le fond de la contestation ( ATF 133 II 409 consid. 1.4 p. 414; 133 III 489 consid. 3.1; arrêt 1C_593/2016 du 11 septembre 2017 consid. 1).</w:t>
      </w:r>
    </w:p>
    <w:p>
      <w:r>
        <w:rPr>
          <w:b/>
        </w:rPr>
        <w:t>E. 2</w:t>
      </w:r>
    </w:p>
    <w:p>
      <w:r>
        <w:t>La recourante reproche à la Cour de justice d'avoir considéré arbitrairement que le courrier du 28 octobre 2015 ne constituait pas une décision. D'après l'intéressée, l'acte par lequel le Conseil d'Etat a rejeté ses prétentions en rétrocession du produit des amendes infligées aurait dû être qualifié de décision négative au sens de l' art. 4 al. 1 let . c LPA.</w:t>
      </w:r>
    </w:p>
    <w:p>
      <w:r>
        <w:rPr>
          <w:b/>
        </w:rPr>
        <w:t>E. 2.1</w:t>
      </w:r>
    </w:p>
    <w:p>
      <w:r>
        <w:t>En droit public, la notion de "décision" au sens large vise habituellement toute résolution que prend une autorité et qui est destinée à produire un certain effet juridique ou à constater l'existence ou l'inexistence d'un droit ou d'une obligation; au sens étroit, c'est un acte qui, tout en répondant à cette définition, intervient dans un cas individuel et concret ( ATF 135 II 328 consid. 2.1 p. 332; 106 Ia 65 consid. 3 p. 69; 99 Ia 518 consid. 3a p. 520; cf. également ATF 141 II 233 consid. 3.1 p. 235 s.; 135 II 38 consid. 4.3 p. 44 s.). A teneur de l' art. 4 al. 1 LPA , sont considérées comme des décisions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ou de rejeter ou de déclarer irrecevables des demandes tendant à créer, modifier, annuler ou constater des droits ou des obligations (let. c) ". Selon l' art. 4 al. 3 LPA , " lorsqu'une autorité rejette ou invoque des prétentions à faire valoir par voie d'action judiciaire, sa déclaration n'est pas considérée comme une décision ". Cette exception s'applique notamment au contentieux de la responsabilité de l'Etat, qui prévoit un contentieux par voie d'action (art. 7 de la loi sur la responsabilité de l'Etat et des communes du 24 février 1989 [LREC; RS/GE A 2 40]; GRODECKI/JORDAN, Code annoté de procédure administrative genevoise, LPA/GE et lois spéciales, 2017, n° 80 p. 22; THIERRY TANQUEREL, Manuel de droit administratif, 2011, n° 690 p. 239). L' art. 4 LPA définit la notion de décision de la même manière que l'art. 5 al. 1 de la loi fédérale sur la procédure administrative (PA; RS 172.021; GRODECKI/JORDAN, op. cit. , n° 63 p. 17).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1C_593/2016 du 11 septembre 2017 consid. 2.2; 8C_220/2011 du 2 mars 2012 consid. 4.1.2 in SJ 2013 I 18).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(arrêts 1C_532/2016 du 21 juin 2017 consid. 2.3.1; 2C_271/2012 du 14 août 2012 consid. 1.3, non publié à l' ATF 139 II 384 ).</w:t>
      </w:r>
    </w:p>
    <w:p>
      <w:r>
        <w:rPr>
          <w:b/>
        </w:rPr>
        <w:t>E. 2.2</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p. 177 et les références citées). Les griefs de violation de dispositions cantonales sont soumis à des exigences de motivation accrue ( art. 106 al. 2 LTF ); il appartient dans ce contexte à la partie recourante de citer les dispositions du droit cantonal dont elle se prévaut et démontrer en quoi celles-ci auraient été appliquées arbitrairement ou d'une autre manière contraire au droit (cf. ATF 136 II 489 consid. 2.8 p. 494; 133 IV 286 consid. 1.4 p. 287).</w:t>
      </w:r>
    </w:p>
    <w:p>
      <w:r>
        <w:rPr>
          <w:b/>
        </w:rPr>
        <w:t>E. 2.3</w:t>
      </w:r>
    </w:p>
    <w:p>
      <w:r>
        <w:t>En l'occurrence, le courrier litigieux indique clairement que la " soi-disant dette [de la Commune] n'existe pas ". Ainsi, de par sa formulation, le Conseil d'Etat constate sans ambiguïté l'inexistence de droits de la recourante s'agissant du recouvrement des amendes transmises au Service des contraventions. En cela, le courrier emporte les effets d'une décision au sens de l' art. 4 al. 1 let. b LPA . Contrairement à ce que retient l'intimé, le caractère décisionnel d'une mesure ne dépend pas d'un intérêt juridiquement protégé de son destinataire. Un intérêt de fait peut suffire (cf. MOOR/POLTIER, Droit administratif, vol. II, Les actes administratifs et leur contrôle, 3ème éd. 2011, n° 2.1.2.2 p. 188; cf. arrêts 8C_220/2011 du 2 mars 2012 consid. 4.1.2; 8C_191/2010 du 12 octobre 2010 consid. 6.3). Le point de savoir si les prétentions émises sont ou non justifiées est une question qui relève du fond et non de la procédure (arrêts 8C_220/2011 du 2 mars 2012 consid. 4.1.2; 8C_191/2010 du 12 octobre 2010 consid. 6.3). L'instance précédente est ainsi tombée dans l'arbitraire en considérant que le courrier du 28 octobre 2015, qui comportait les éléments essentiels d'une décision, ne devait pas être considéré comme une décision au sens de l' art. 4 LPA . La motivation présentée par les juges précédents, à savoir que la Ville de Genève n'avait aucun droit de regard sur l'activité du Service des contributions en matière de recouvrement d'amendes d'ordre, que la tâche exercée par la commune était une tâche cantonale déléguée et que la répartition des charges financières n'entrait pas dans le champ de l'autonomie communale, ne permet pas de justifier la solution à laquelle ils sont parvenus. L'arrêt attaqué est, en outre, muet sur la question de l'application de l' art. 4 al. 3 LPA , alors même qu'une demande en paiement a été déposée par devant le Tribunal de première instance de Genève (cf. arrêt attaqué, consid. 8). Cette motivation arbitraire a eu pour conséquence que la Cour de justice a refusé d'entrer en matière sur le recours, le déclarant irrecevable. Dès lors que la recourante se voit ainsi privée de la possibilité de faire contrôler l'application du droit par l'instance précédente, l'arrêt entrepris est également arbitraire dans son résultat (cf. arrêt 5P.512/2006 du 24 mai 2007 consid. 3.3). Par conséquent, la Cour de justice a violé l' art. 9 Cst. en refusant d'entrer en matière sur le recours en raison de l'absence de décision attaquable sur la question des amendes recouvrées par l'Etat mais non rétrocédées à la Commune.</w:t>
      </w:r>
    </w:p>
    <w:p>
      <w:r>
        <w:rPr>
          <w:b/>
        </w:rPr>
        <w:t>E. 3</w:t>
      </w:r>
    </w:p>
    <w:p>
      <w:r>
        <w:t>Dans ces circonstances, le recours doit être admis. L'arrêt attaqué doit être annulé et la cause renvoyée à la Cour de justice pour qu'elle traite le courrier du 28 octobre 2015 comme une décision, qu'elle examine si les prétentions de la Ville de Genève tombent, en tout ou en partie, sous l'exception de l' art. 4 al. 3 LPA et qu'elle en tire les conséquences juridiques. Succombant, le canton de Genève, dont l'intérêt pécuniaire est en cause, doit supporter les frais judiciaires (cf. art. 66 al. 1 et 4 LTF ). Agissant dans l'exercice de ses attributions officielles, la Ville de Genève ne peut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