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2C_282/2015 vom 3. April 2015</w:t>
      </w:r>
    </w:p>
    <w:p>
      <w:r>
        <w:t>Bundesgericht, 2015-04-03, IT</w:t>
      </w:r>
    </w:p>
    <w:p>
      <w:r>
        <w:rPr>
          <w:b/>
        </w:rPr>
        <w:t xml:space="preserve">Quelle: </w:t>
      </w:r>
      <w:r>
        <w:t>https://mcp.opencaselaw.ch/entscheid/bger_2C_282_2015</w:t>
      </w:r>
    </w:p>
    <w:p>
      <w:r>
        <w:t>FR: TF 2C_282/2015 du 3 avril 2015</w:t>
      </w:r>
    </w:p>
    <w:p>
      <w:r>
        <w:t>IT: TF 2C_282/2015 del 3 aprile 2015</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La ricorrente ha omesso di precisare per quale via di diritto voleva procedere. Tale imprecisione non comporta comunque alcun pregiudizio, nella misura in cui il suo allegato adempie alle esigenze formali del tipo di ricorso esperibile ( DTF 134 III 379 consid. 1.2 pag. 382).</w:t>
      </w:r>
    </w:p>
    <w:p>
      <w:r>
        <w:rPr>
          <w:b/>
        </w:rPr>
        <w:t>E. 1.3</w:t>
      </w:r>
    </w:p>
    <w:p>
      <w:r>
        <w:t>Oggetto del contendere è l'imposta cantonale sugli utili immobiliari, ossia un'imposta cantonale armonizzata (cfr. art. 12 e 72 cpv. 1 della legge federale del 14 dicembre 1990 sull'armonizzazione delle imposte dirette dei Cantoni e dei Comuni, LAID; RS 642.14), cioè una causa di diritto pubblico che non ricade sotto nessuna delle eccezioni previste dall' art. 83 LTF e per la quale è aperta la via del ricorso in materia di diritto pubblico ( art. 82 lett. a LTF ), come lo conferma l' art. 73 cpv. 1 LAID (vedasi DTF 134 II 186 consid. 1.3 pag. 188). Rivolta contro la decisione di un'autorità cantonale di ultima istanza con carattere di tribunale superiore (art. 86 cpv. 1 lett. d e cpv. 2 LTF) l'impugnativa, presentata in tempo utile ( art. 100 cpv. 1 LTF ) dalla destinataria del giudizio contestato ( art. 89 cpv. 1 LTF ) è, quindi, di massima ammissibile quale ricorso in materia di diritto pubblico.</w:t>
      </w:r>
    </w:p>
    <w:p>
      <w:r>
        <w:rPr>
          <w:b/>
        </w:rPr>
        <w:t>E. 2.1</w:t>
      </w:r>
    </w:p>
    <w:p>
      <w:r>
        <w:t>Conformemente all' art. 42 LTF il ricorso deve contenere le conclusioni, i motivi e l'indicazione dei mezzi di prova (cpv. 1) e dev'essere motivato in modo sufficiente (cpv. 2; DTF 134 II 244 consid. 2.1 pag. 245; 133 II 249 consid. 1.4.1 pag. 254). Nell'allegato ricorsuale occorre quindi indicare in maniera succinta perché l'atto contestato disattende il diritto applicabile; la motivazione deve essere riferita all'oggetto del litigio, in modo che si capisca perché e su quali punti la decisione querelata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2.1-2.3 pag. 245 segg.).</w:t>
      </w:r>
    </w:p>
    <w:p>
      <w:r>
        <w:rPr>
          <w:b/>
        </w:rPr>
        <w:t>E. 2.2</w:t>
      </w:r>
    </w:p>
    <w:p>
      <w:r>
        <w:t>In primo luogo ci si può chiedere in che misura il comportamento della ricorrente, che appare contraddittorio, se non addirittura lesivo del principio della buona fede, meriti tutela. Ella infatti ha dapprima concluso un accordo con l'autorità fiscale, sulla base del quale la Corte cantonale ha poi parzialmente accolto la sua impugnativa e riformato la decisione su reclamo allora impugnata, per poi chiedere l'annullamento del contributo ivi definito. Il quesito non merita tuttavia di essere ulteriormente approfondito dato che il ricorso sfugge comunque, per i motivi esposti di seguito, ad un esame di merito.</w:t>
      </w:r>
    </w:p>
    <w:p>
      <w:r>
        <w:t>Nel caso concreto, l'allegato ricorsuale non contiene precise ed esaustive considerazioni di natura giuridica che espongano quali disposizioni legali sarebbero violate e in cosa consisterebbe la lesione del diritto applicabile. La ricorrente si limita infatti, in maniera alquanto prolissa e confusa, a contestare il modo in cui si sarebbe svolta la vendita all'asta pubblica dell'immobile che possedeva in comproprietà con l'ex marito, affermando in particolare che non vi avrebbe mai acconsentito e che l'ex consorte avrebbe prodotto un falso documento, vedendosi così aggiudicare la sua parte di proprietà; ad esporre la propria situazione familiare e coniugale; ad elencare i problemi sorti in seguito al proprio divorzio e, tra l'altro, a criticare il comportamento dell'ex marito riguardo alle questioni finanziarie; infine, a quantificare le spese da lei sopportate a causa del divorzio. Ella tuttavia nulla adduce riguardo al fatto che, in seguito all'accordo concluso con l'autorità fiscale, che non rimette in discussione, la Corte cantonale ha parzialmente accolto il suo gravame e riformato di conseguenza la decisione su reclamo. Il ricorso, che non contiene una motivazione topica riferita al tema della causa, si rivela quindi inammissibile e può essere deciso sulla base della procedura semplificata dell' art. 108 cpv. 1 lett. b LTF .</w:t>
      </w:r>
    </w:p>
    <w:p>
      <w:r>
        <w:rPr>
          <w:b/>
        </w:rPr>
        <w:t>E. 3</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