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2C_282/2008 vom 11. Juli 2008</w:t>
      </w:r>
    </w:p>
    <w:p>
      <w:r>
        <w:t>Bundesgericht, 2008-07-11, DE</w:t>
      </w:r>
    </w:p>
    <w:p>
      <w:r>
        <w:rPr>
          <w:b/>
        </w:rPr>
        <w:t xml:space="preserve">Quelle: </w:t>
      </w:r>
      <w:r>
        <w:t>https://mcp.opencaselaw.ch/entscheid/bger_2C_282_2008</w:t>
      </w:r>
    </w:p>
    <w:p>
      <w:r>
        <w:t>FR: TF 2C_282/2008 du 11 juillet 2008</w:t>
      </w:r>
    </w:p>
    <w:p>
      <w:r>
        <w:t>IT: TF 2C_282/2008 del 11 luglio 2008</w:t>
      </w:r>
    </w:p>
    <w:p>
      <w:pPr>
        <w:pStyle w:val="Heading2"/>
      </w:pPr>
      <w:r>
        <w:t>Erwägungen</w:t>
      </w:r>
    </w:p>
    <w:p>
      <w:r>
        <w:rPr>
          <w:b/>
        </w:rPr>
        <w:t>E. 1</w:t>
      </w:r>
    </w:p>
    <w:p>
      <w:r>
        <w:t>Die angefochtene Ausweisungsverfügung erging vor dem 1. Januar 2008 und damit vor dem Inkrafttreten des neuen Ausländergesetzes. Wie die Vorinstanz zutreffend darlegt, ist die Rechtmässigkeit der Ausweisung - in analoger Anwendung von Art. 126 Abs. 1 AuG - nach dem bisherigen Recht zu beurteilen (Urteil des Bundesgerichts 2C_745/2007 vom 15. Januar 2008, E. 1.1).</w:t>
      </w:r>
    </w:p>
    <w:p>
      <w:r>
        <w:rPr>
          <w:b/>
        </w:rPr>
        <w:t>E. 2.1</w:t>
      </w:r>
    </w:p>
    <w:p>
      <w:r>
        <w:t>Es ist unbestritten, dass die vom Beschwerdeführer verübten Straftaten einen Ausweisungsgrund bilden ( Art. 10 Abs. 1 lit. a ANAG ). Die Vorinstanz nimmt im angefochtenen Entscheid die bei Ausweisungen erforderliche Interessenabwägung vor (vgl. Art. 11 Abs. 3 ANAG ; BGE 134 II 1 E. 2.2 S. 3) und gelangt zum Schluss, dass das öffentliche Interesse an der Fernhaltung des Beschwerdeführers dessen private Interessen am weiteren Verbleib in der Schweiz überwögen.</w:t>
      </w:r>
    </w:p>
    <w:p>
      <w:r>
        <w:rPr>
          <w:b/>
        </w:rPr>
        <w:t>E. 2.2</w:t>
      </w:r>
    </w:p>
    <w:p>
      <w:r>
        <w:t>Der Beschwerdeführer rügt in erster Linie, dass die Vorinstanz seine positive Entwicklung seit der Verübung der Straftaten nicht ausreichend berücksichtige und stattdessen weitgehend nur auf das Strafurteil abstelle, das nun aber bereits mehrere Jahre zurückliege. Der Verzicht auf die Abnahme der Beweismittel, die er im vorinstanzlichen Verfahren beantragt habe, verletze seinen Anspruch auf rechtliches Gehör ( Art. 29 Abs. 2 BV ), seine Menschenwürde ( Art. 7 BV ) und seine persönliche Freiheit ( Art. 10 BV ). Bei gebührendem Einbezug seiner jüngsten Persönlichkeitsentwicklung erscheine die Ausweisung als unverhältnismässig, da überhaupt keine Rückfallgefahr mehr bestehe. Ausserdem kritisiert der Beschwerdeführer die vorinstanzliche Interessenabwägung unter verschiedenen weiteren Gesichtspunkten.</w:t>
      </w:r>
    </w:p>
    <w:p>
      <w:r>
        <w:rPr>
          <w:b/>
        </w:rPr>
        <w:t>E. 3.1</w:t>
      </w:r>
    </w:p>
    <w:p>
      <w:r>
        <w:t>Bei der nach Art. 11 Abs. 3 ANAG gebotenen Interessenabwägung ist vom Verschulden des Ausländers, wie es im Strafurteil zum Ausdruck kommt, auszugehen. Daneben sind sämtliche weiteren Faktoren zu berücksichtigen, die für das öffentliche Interesse an der Ausweisung bzw. das private Interesse am Verbleib in der Schweiz von Bedeutung sein können. Bei deren Beurteilung sind die Migrationsämter jedoch nicht an die Würdigung des Strafrichters gebunden. Namentlich können sie eine Wegweisung auch verfügen, wenn im Strafurteil von einer Landesverweisung abgesehen wurde ( BGE 129 II 215 E. 3.2 S. 216 f.). Beim Entscheid über die Ausweisung steht das allgemeine Interesse an der Aufrechterhaltung der öffentlichen Ordnung und Sicherheit im Vordergrund und weniger der bei der strafrechtlichen Beurteilung wichtige Resozialisierungsgedanke und die Prognose über das künftige Wohlverhalten ( BGE 125 II 105 E. 2c S. 109 f.).</w:t>
      </w:r>
    </w:p>
    <w:p>
      <w:r>
        <w:rPr>
          <w:b/>
        </w:rPr>
        <w:t>E. 3.2</w:t>
      </w:r>
    </w:p>
    <w:p>
      <w:r>
        <w:t>Die Kritik, die der Beschwerdeführer erhebt, verkennt zumindest teilweise diesen Unterschied und gründet zu sehr auf einer strafrechtlichen Betrachtungsweise.</w:t>
      </w:r>
    </w:p>
    <w:p>
      <w:r>
        <w:t>Allerdings spielt der Gesichtspunkt der Rückfallgefahr auch bei der Beurteilung von Ausweisungen eine Rolle; es kommt ihm jedoch ausserhalb des Geltungsbereichs des Freizügigkeitsabkommens keine vorrangige Bedeutung zu. Eine günstige Prognose hinsichtlich der Resozialisierungschancen schliesst deshalb eine Ausweisung noch nicht aus; inbesondere muss bei Gewaltdelikten auch ein Restrisiko nicht hingenommen werden ( BGE 130 II 176 E. 4.2 - 4.4 S. 185 ff.; 125 II 521 E. 4a/bb S. 527 f.).</w:t>
      </w:r>
    </w:p>
    <w:p>
      <w:r>
        <w:rPr>
          <w:b/>
        </w:rPr>
        <w:t>E. 3.3</w:t>
      </w:r>
    </w:p>
    <w:p>
      <w:r>
        <w:t>Die Vorinstanz stützt sich bei der Beurteilung der Rückfallgefahr auf das im Strafurteil erwähnte psychiatrische Gutachten und auf einen Therapieverlaufsbericht vom 8. Mai 2005. Im Letzteren wird zur Rückfallprävention eine Fortsetzung der angefangenen Therapie auf unbestimmte Zeit empfohlen. Der Beschwerdeführer, der am 17. November 2007 aus dem Strafvollzug entlassen wurde, hat sich auch noch nicht während eines längeren Zeitraums in Freiheit bewährt. Wird weiter berücksichtigt, dass der Beschwerdeführer die objektiv schwerwiegenden Straftaten bei voller Zurechnungsfähigkeit begangen hat und sie deshalb auch subjektiv gravierend erscheinen, durfte die Vorinstanz bereits aufgrund der ihr bekannten Akten zumindest ein gewisses Risiko des Rückfalls bejahen. Es ist deshalb nicht zu beanstanden, wenn sie davon ausging, dass die Abnahme der beantragten weiteren Beweismittel (persönliche Anhörung, Führungs- und Therapieberichte) an dieser Beurteilung nichts zu ändern vermöchten, selbst wenn sie durchwegs positiv ausfielen. Der angefochtene Entscheid verletzt somit weder den Gehörsanspruch des Beschwerdeführers noch die weiteren von ihm angerufenen Grundrechte.</w:t>
      </w:r>
    </w:p>
    <w:p>
      <w:r>
        <w:rPr>
          <w:b/>
        </w:rPr>
        <w:t>E. 4.1</w:t>
      </w:r>
    </w:p>
    <w:p>
      <w:r>
        <w:t>Nach Auffassung des Beschwerdeführers ist seine Ausweisung auch deshalb unverhältnismässig, weil er schon seit über zwanzig Jahren in der Schweiz lebe und als Ersttäter gehandelt habe, der Anspruch auf eine "zweite Chance" habe. Überdies treffe ihn die Ausweisung besonders schwer, weil er in der Türkei niemanden mehr kenne und er die türkische Sprache nur noch mangelhaft spreche.</w:t>
      </w:r>
    </w:p>
    <w:p>
      <w:r>
        <w:rPr>
          <w:b/>
        </w:rPr>
        <w:t>E. 4.2</w:t>
      </w:r>
    </w:p>
    <w:p>
      <w:r>
        <w:t>Die Vorinstanz hat die lange Dauer der Anwesenheit des Beschwerdeführers und seine grundsätzlich gute Integration in der Schweiz nicht übersehen. Sie stuft denn auch sein Interesse an einem weiteren Verbleib in der Schweiz als gross ein. Allerdings gewichtet sie das öffentliche Interesse an der Ausweisung zu Recht höher. Obwohl nur eine Verurteilung erfolgte, hat der Beschwerdeführer zwei sehr schwere sexuelle Übergriffe begangen, wobei ein Opfer erst 14½ Jahre alt war. Die Vorinstanz weist mit Grund auch darauf hin, dass es dem Beschwerdeführer angesichts seiner Sprachkenntnisse, seiner soliden Berufsausbildung und seines noch jugendlichen Alters keine besonderen Schwierigkeiten bereitet, in der Türkei zu leben. Er macht zwar geltend, seine Türkischkenntnisse seien verkümmert. Es ist jedoch unbestritten, dass Türkisch seine Muttersprache ist und er sich in dieser Sprache problemlos unterhalten kann. Er war zudem in der Schweiz mit einer aus der Türkei stammenden Schweizerin verheiratet. Bei Würdigung aller Umstände, für die im Einzelnen auf die Erwägungen des angefochtenen Entscheids verwiesen werden kann, erscheint die Ausweisung nicht unverhältnismässig.</w:t>
      </w:r>
    </w:p>
    <w:p>
      <w:r>
        <w:rPr>
          <w:b/>
        </w:rPr>
        <w:t>E. 5</w:t>
      </w:r>
    </w:p>
    <w:p>
      <w:r>
        <w:t>Die Beschwerde erweist sich demnach als unbegründet und ist abzuweisen.</w:t>
      </w:r>
    </w:p>
    <w:p>
      <w:r>
        <w:t>Dem Gesuch um unentgeltliche Rechtspflege und Verbeiständung kann nicht entsprochen werden, da die gestellten Begehren aussichtslos erscheinen ( Art. 64 Abs. 1 und 2 BGG ). Entsprechend dem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