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2C_280/2020 vom 15. April 2020</w:t>
      </w:r>
    </w:p>
    <w:p>
      <w:r>
        <w:t>Bundesgericht, 2020-04-15, DE</w:t>
      </w:r>
    </w:p>
    <w:p>
      <w:r>
        <w:rPr>
          <w:b/>
        </w:rPr>
        <w:t xml:space="preserve">Quelle: </w:t>
      </w:r>
      <w:r>
        <w:t>https://mcp.opencaselaw.ch/entscheid/bger_2C_280_2020</w:t>
      </w:r>
    </w:p>
    <w:p>
      <w:r>
        <w:t>FR: TF 2C_280/2020 du 15 avril 2020</w:t>
      </w:r>
    </w:p>
    <w:p>
      <w:r>
        <w:t>IT: TF 2C_280/2020 del 15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Schweizerische Bundesrat hat am 13. März 2020 unter anderem gestützt auf Art. 7 des Epidemiegesetzes vom 28. September 2012 (SR 818.101) die Verordnung 2 über Massnahmen zur Bekämpfung des Coronavirus (COVID-19) erlassen (COVID-19-Verordnung; SR 818.101.24). Diese ist zur Verhinderung der Verbreitung und zur Eindämmung des Coronavirus (COVID-19; vgl. Art. 1 Abs. 2 der COVID-19-Verordnung 2) mit gewissen Beeinträchtigungen von verfassungsmässigen Rechten verbunden.</w:t>
      </w:r>
    </w:p>
    <w:p>
      <w:r>
        <w:rPr>
          <w:b/>
        </w:rPr>
        <w:t>E. 2.1</w:t>
      </w:r>
    </w:p>
    <w:p>
      <w:r>
        <w:t>Mit Eingabe vom 14. April 2020 stellt A.________ im Wesentlichen den Antrag, die Verordnung 2 des Bundesrats über Massnahmen zur Bekämpfung des Coronavirus (COVID-19) aufzuheben. Sie macht geltend, dass es nicht um eine vorfrageweise Prüfung der COVID-19-Verordnung 2 gehe, sondern "um die Kontrolle der Verordnung selbst (abstrakte Normenkontrolle) ".</w:t>
      </w:r>
    </w:p>
    <w:p>
      <w:r>
        <w:rPr>
          <w:b/>
        </w:rPr>
        <w:t>E. 2.2</w:t>
      </w:r>
    </w:p>
    <w:p>
      <w:r>
        <w:t>Die Beschwerde ist offensichtlich unzulässig; es ist darauf durch den Präsidenten als Instruktionsrichter im Verfahren nach Art. 108 Abs. 1 BGG nicht einzutreten: Das Bundesgericht beurteilt Beschwerden gegen kantonale Erlasse ( Art. 82 lit. b BGG ). Bundeserlasse unterliegen keiner abstrakten Normenkontrolle. Das Bundesgericht kann eine bundesrätliche Verordnung nur vorfrageweise im Rahmen einer inzidenten Normenkontrolle auf ihre Gesetz- und Verfassungsmässigkeit hin prüfen. Eine solche steht hier nicht zur Diskussion; die Beschwerdeführerin macht ausdrücklich geltend, dass gegen sie keine Verfügung ergangen sei und sie eine abstrakte Kontrolle der Verfassungsmässigkeit der COVID-19-Verordnung 2 verlange; eine solche ist nach dem Bundesgerichtsgesetz indessen ausgeschlossen (vgl. Heinz AEMISEGGER/KARIN SCHERRER REBER, IN: Niggli/Uebersax/Wiprächtiger/Kneubühler [Hrsg.], Bundesgerichtsgesetz, 3. Aufl. 2018, N. 29 zu Art. 82 BGG ; Hansjör G SEILER, IN: S eiler/von Werdt/Güngerich/Oberholzer [Hrsg.], Bundesgerichtsgesetz [BGG], 2. Aufl. 2015, N. 74 und 77 zu Art. 82 BGG ; Alain W URZBURGER, IN: C orboz/Wurzburger/Ferrari/Frésard/Aubry Girardin [Hrsg.], Commentaire de la LTF, 2. Aufl. 2014, N. 18 zu Art. 82 BGG ; Rhinow/K OLLER/KISS/THURNHERR/BRÜHL-MOSER, ÖFFENT liches Prozessrecht, 2. Aufl. 2010, S. 496 N. 1888; vgl. auch BGE 139 II 384 ff.).</w:t>
      </w:r>
    </w:p>
    <w:p>
      <w:r>
        <w:t>Ebenso unzulässig sind die weiteren Anträge auf Feststellung der Verfassungs- und Gesetzwidrigkeit der Verordnung oder auf deren Anpassung, sowie der damit verbundene Antrag auf Anordnung eines Gutachtens.</w:t>
      </w:r>
    </w:p>
    <w:p>
      <w:r>
        <w:rPr>
          <w:b/>
        </w:rPr>
        <w:t>E. 3</w:t>
      </w:r>
    </w:p>
    <w:p>
      <w:r>
        <w:t>Dem Verfahrensausgang entsprechend würde die Beschwerdeführerin kostenpflichtig. Es kann jedoch ausnahmsweise davon abgesehen werden, für das vorliegende Verfahren Kosten zu erheben ( Art. 66 Abs. 1 Satz 2 BGG ). Es sind keine Parteientschädigungen geschuldet ( Art. 68 Abs.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