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2C_279/2020 vom 14. April 2020</w:t>
      </w:r>
    </w:p>
    <w:p>
      <w:r>
        <w:t>Bundesgericht, 2020-04-14, FR</w:t>
      </w:r>
    </w:p>
    <w:p>
      <w:r>
        <w:rPr>
          <w:b/>
        </w:rPr>
        <w:t xml:space="preserve">Quelle: </w:t>
      </w:r>
      <w:r>
        <w:t>https://mcp.opencaselaw.ch/entscheid/bger_2C_279_2020</w:t>
      </w:r>
    </w:p>
    <w:p>
      <w:r>
        <w:t>FR: TF 2C_279/2020 du 14 avril 2020</w:t>
      </w:r>
    </w:p>
    <w:p>
      <w:r>
        <w:t>IT: TF 2C_279/2020 del 14 aprile 2020</w:t>
      </w:r>
    </w:p>
    <w:p>
      <w:pPr>
        <w:pStyle w:val="Heading2"/>
      </w:pPr>
      <w:r>
        <w:t>Erwägungen</w:t>
      </w:r>
    </w:p>
    <w:p>
      <w:r>
        <w:rPr>
          <w:b/>
        </w:rPr>
        <w:t>E. 1</w:t>
      </w:r>
    </w:p>
    <w:p>
      <w:r>
        <w:t>Par arrêt du 13 mars 2020, la Cour de droit administratif et public du Tribunal cantonal du canton de Vaud (ci-après: le Tribunal cantonal) a rejeté le recours que A.________, ressortissant kosovar né en 1987, avait déposé contre la décision du 22 janvier 2020 du Service de la population du canton de Vaud refusant de reconsidérer une première décision du 31 août 2018 de cette autorité, confirmée sur recours par le Tribunal cantonal le 21 août 2019, concernant le refus de l'octroi d'une autorisation de séjour pour cas individuel d'extrême gravité.</w:t>
      </w:r>
    </w:p>
    <w:p>
      <w:r>
        <w:rPr>
          <w:b/>
        </w:rPr>
        <w:t>E. 2</w:t>
      </w:r>
    </w:p>
    <w:p>
      <w:r>
        <w:t>Agissant par la voie du recours en matière de droit public, A.________ demande au Tribunal fédéral de réformer l'arrêt du Tribunal cantonal du 13 mars 2020 et, au moins implicitement, de lui octroyer une autorisation de séjour. Il cite à ce propos les art. 30 LEI (RS 142.20) et 8 CEDH.</w:t>
      </w:r>
    </w:p>
    <w:p>
      <w:r>
        <w:rPr>
          <w:b/>
        </w:rPr>
        <w:t>E. 3.1</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w:t>
      </w:r>
    </w:p>
    <w:p>
      <w:r>
        <w:rPr>
          <w:b/>
        </w:rPr>
        <w:t>E. 3.2</w:t>
      </w:r>
    </w:p>
    <w:p>
      <w:r>
        <w:t>En l'occurrence, le recourant ne saurait se prévaloir, dans le cadre d'un recours en matière de droit public, d'une dérogation contenue à l' art. 30 LEI (cf. arrêts 2C_848/2019 du 11 octobre 2019 consid. 3; 2C_683/2019 du 8 août 2019 consid. 3). Le recours en matière de droit public est ainsi irrecevable à ce titre.</w:t>
      </w:r>
    </w:p>
    <w:p>
      <w:r>
        <w:rPr>
          <w:b/>
        </w:rPr>
        <w:t>E. 3.3</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t>En l'espèce, il ressort des faits de l'arrêt entrepris que le recourant a demandé une autorisation de séjour pour la première fois le 4 octobre 2017. Dans ces conditions, il convient de retenir qu'il n'a pas vécu légalement en Suisse plus de dix ans. On ne saurait admettre que l'addition d'années de séjour illégal, que le recourant affirme de manière appellatoire avoir passées en Suisse, équivaut au droit d'obtenir une autorisation de séjour fondée sur l' art. 8 CEDH et par conséquent récompenser en dernier ressort une attitude contraire au droit. Le recourant ne se targue au demeurant pas d'une intégration particulièrement forte pour se prévaloir du droit à une autorisation de séjour fondée sur la protection de la vie privée garantie par l' art. 8 CEDH . 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ni de l' art. 30 LEI , ni de l' art. 8 CEDH ,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Or, le recourant ne soulève aucun grief de ce type.</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