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2C_279/2013 vom 13. Dezember 2013</w:t>
      </w:r>
    </w:p>
    <w:p>
      <w:r>
        <w:t>Bundesgericht, 2013-12-13, DE</w:t>
      </w:r>
    </w:p>
    <w:p>
      <w:r>
        <w:rPr>
          <w:b/>
        </w:rPr>
        <w:t xml:space="preserve">Quelle: </w:t>
      </w:r>
      <w:r>
        <w:t>https://mcp.opencaselaw.ch/entscheid/bger_2C_279_2013</w:t>
      </w:r>
    </w:p>
    <w:p>
      <w:r>
        <w:t>FR: TF 2C_279/2013 du 13 décembre 2013</w:t>
      </w:r>
    </w:p>
    <w:p>
      <w:r>
        <w:t>IT: TF 2C_279/2013 del 13 dicembre 2013</w:t>
      </w:r>
    </w:p>
    <w:p>
      <w:pPr>
        <w:pStyle w:val="Heading2"/>
      </w:pPr>
      <w:r>
        <w:t>Erwägungen</w:t>
      </w:r>
    </w:p>
    <w:p>
      <w:r>
        <w:rPr>
          <w:b/>
        </w:rPr>
        <w:t>E. 1</w:t>
      </w:r>
    </w:p>
    <w:p>
      <w:r>
        <w:t>Gemäss Art. 89 BGBB unterliegen letztinstanzliche kantonale Beschwerdeentscheide der Beschwerde in öffentlich-rechtlichen Angelegenheiten. Das angefochtene Urteil ist ein Endentscheid im Sinn von Art. 90 BGG und wurde von einer kantonal letztinstanzlich zuständigen Gerichtsbehörde gemäss Art. 86 Abs. 1 lit. d BGG und Art. 86 Abs. 2 BGG gefällt. Der Entscheid betrifft die Frage der Bewilligungspflicht beim Eigentumsübergang landwirtschaftlicher Grundstücke und Gewerbe und damit eine Angelegenheit des öffentlichen Rechts gemäss Art. 82 lit. a BGG ; eine Ausnahme im Sinn von Art. 83 BGG liegt nicht vor. Die Beschwerde ist zulässig.</w:t>
      </w:r>
    </w:p>
    <w:p>
      <w:r>
        <w:rPr>
          <w:b/>
        </w:rPr>
        <w:t>E. 2.1</w:t>
      </w:r>
    </w:p>
    <w:p>
      <w:r>
        <w:t>Der Beschwerdeführer hat am Verfahren vor der Vorinstanz teilgenommen; das Erfordernis der formellen Beschwer im Sinn von Art. 89 Abs. 1 lit. a BGG ist erfüllt. Der Beschwerdeführer gehört zum Kreis der Personen, welche gemäss Art. 83 Abs. 3 BGBB in Verbindung mit Art. 84 BGBB grundsätzlich Beschwerde erheben können. Zu prüfen bleibt die materielle Beschwer im Sinn von Art. 89 Abs. 1 lit. b und c BGG .</w:t>
      </w:r>
    </w:p>
    <w:p>
      <w:r>
        <w:rPr>
          <w:b/>
        </w:rPr>
        <w:t>E. 2.2</w:t>
      </w:r>
    </w:p>
    <w:p>
      <w:r>
        <w:t>Gemäss Art. 89 Abs. 1 lit. b und c BGG ist zur Beschwerde in öffentlich-rechtlichen Angelegenheiten berechtigt, wer durch den angefochtenen Entscheid besonders berührt ist und ein schutzwürdiges Interesse an dessen Aufhebung oder Änderung hat. Das schutzwürdige Interesse besteht in der Abwendung eines unmittelbaren, materiellen oder ideellen Nachteils im Fall der Gutheissung der Beschwerde ( BGE 139 II 279 E. 2.2 S. 282 mit Hinweisen).</w:t>
      </w:r>
    </w:p>
    <w:p>
      <w:r>
        <w:t>Der Beschwerdeführer macht geltend, die beiden Höfe "S.________" und "T.________" würden zusammen ein landwirtschaftliches Gewerbe bilden, weshalb sie dem Realteilungsverbot nach Art. 58 Abs. 1 BGBB unterliegen würden. Die Aufteilung des Hofs "S.________" bedürfe daher einer Ausnahmebewilligung gemäss Art. 60 BGBB . Das Interesse des Beschwerdeführers besteht offenkundig darin zu verhindern, dass die Parzelle Nr. 649 des GB V.________ seiner ehemaligen Frau zu Alleineigentum übertragen wird (nach den Akten zu schliessen ist der Grundbucheintrag noch nicht erfolgt). Ein schutzwürdiges Interesse an der Aufhebung des angefochtenen Urteils besteht somit insbesondere dann, wenn die Gutheissung der Beschwerde zur Aufhebung des Scheidungsurteils vom 15. Februar 2011 bzw. des Entscheids des Kantonsgerichts Basel-Landschaft vom 6. Dezember 2011 führen würde.</w:t>
      </w:r>
    </w:p>
    <w:p>
      <w:r>
        <w:rPr>
          <w:b/>
        </w:rPr>
        <w:t>E. 2.3</w:t>
      </w:r>
    </w:p>
    <w:p>
      <w:r>
        <w:t>Das Bezirks- und das Kantonsgericht haben vorfrageweise entschieden, dass die beiden Höfe kein landwirtschaftliches Gewerbe bilden, so dass sie nicht dem Realteilungsverbot unterliegen. Es ist zu prüfen, ob der Beschwerdeführer trotz Rechtskraft des Scheidungsurteils die Feststellung beantragen kann, die Abtrennung der Parzelle Nr. 649 des GB V.________ bedürfe wegen des Realteilungsverbots einer Ausnahmebewilligung gemäss Art. 60 BGBB .</w:t>
      </w:r>
    </w:p>
    <w:p>
      <w:r>
        <w:rPr>
          <w:b/>
        </w:rPr>
        <w:t>E. 2.3.1</w:t>
      </w:r>
    </w:p>
    <w:p>
      <w:r>
        <w:t>Die Zivilgerichte sind nach konstanter Praxis zuständig zur Beurteilung öffentlichrechtlicher Vorfragen, die (noch) nicht Gegenstand eines rechtskräftigen Entscheids der zuständigen Verwaltungs- und Verwaltungsgerichtsbehörden bilden ( BGE 131 III 546 E. 2.3 S. 551; 108 II 456 E. 2 S. 460). Grundsätzlich hat das Zivilgericht die Wahl, ob es die Frage vorfrageweise selbst entscheiden oder den Prozess sistieren und den Parteien Frist ansetzen will, damit diese einen Entscheid der zuständigen Verwaltungsbehörde erwirken (Ivo Schwander, Verfahrensrechtliche Behandlung von Vorfragen und von Prozessvoraussetzungen, ZZZ 2008/2009, S. 471). Die klagende Partei kann ihrerseits die Sistierung des Prozesses zu diesem Zweck verlangen ( BGE 105 II 308 E. 2 S. 312). Im bäuerlichen Bodenrecht ist es rechtsprechungsgemäss vorzuziehen, dass das Zivilgericht den Prozess sistiert, um den Ausgang der Verwaltungsverfügung abzuwarten ( BGE 129 III 186 E. 2.3 S. 191 f.). An die rechtskräftige Verfügung einer Verwaltungsbehörde ist das Zivilgericht gebunden ( BGE 105 II 308 E. 2 S. 312).</w:t>
      </w:r>
    </w:p>
    <w:p>
      <w:r>
        <w:rPr>
          <w:b/>
        </w:rPr>
        <w:t>E. 2.3.2</w:t>
      </w:r>
    </w:p>
    <w:p>
      <w:r>
        <w:t>Im vorliegenden Fall wurde im Scheidungsprozess keine Verfügung des LZE eingeholt. Die vorfrageweise getroffene Entscheidung nimmt nicht an der materiellen Rechtskraft des Zivilurteils teil, so dass das LZE daran nicht gebunden ist ( BGE 105 II 308 E. 2 S. 311; SCHWANDER, a.a.O., S. 471, 473). Dennoch kann der Beschwerdeführer grundsätzlich nur eine Feststellungsverfügung verlangen, wenn er ein schutzwürdiges Interesse hat ( Art. 84 BGBB ). Wie erwähnt ist das Interesse des Beschwerdeführers in erster Linie darauf gerichtet, die Eigentumsübertragung der Parzelle Nr. 649 des GB V.________ an seine ehemalige Frau zu verhindern. Dieses Interesse könnte nur durch eine Aufhebung des Zivilurteils im betreffenden Punkt (Dispositiv Ziff. 3a des Urteils des Bezirksgerichts Waldenburg vom 15. Februar 2011) befriedigt werden. Die Aufhebung eines rechtskräftigen Zivilurteils bedarf eines Revisionsgrunds gemäss Art. 328 ZPO (SR 272). Ob ein solcher vorliegt, ist eine Vorfrage, welche gemäss Art. 31 BGG vom Bundesgericht selbst zu prüfen ist. Ist die Revision ausgeschlossen, fällt das Interesse des Beschwerdeführers dahin.</w:t>
      </w:r>
    </w:p>
    <w:p>
      <w:r>
        <w:rPr>
          <w:b/>
        </w:rPr>
        <w:t>E. 2.3.3</w:t>
      </w:r>
    </w:p>
    <w:p>
      <w:r>
        <w:t>Es stellt sich daher die Frage, ob die Gutheissung der vorliegenden Beschwerde bzw. die anbegehrte Feststellung, wonach die Aufteilung des Hofs "S.________" einer Ausnahmebewilligung infolge des Realteilungsverbots bedürfe, einen Revisionsgrund im Sinn von Art. 328 Abs. 1 lit. a ZPO (welcher einzig in Betracht kommt) darstellt. Gemäss dieser Bestimmung kann eine Partei beim Gericht, welches als letzte Instanz in der Sache entschieden hat, die Revision des rechtskräftigen Entscheids verlangen, wenn sie nachträglich erhebliche Tatsachen erfährt oder entscheidende Beweismittel findet, die sie im früheren Verfahren nicht beibringen konnte; ausgeschlossen sind Tatsachen und Beweismittel, welche erst nach dem (aufzuhebenden) Entscheid entstanden sind.</w:t>
      </w:r>
    </w:p>
    <w:p>
      <w:r>
        <w:t>Die genannten Voraussetzungen sind nicht erfüllt: Im Scheidungsprozess wurde der Beschwerdeführer - wie auch seine damalige Ehefrau - vollständig in das Verfahren betreffend die Vorfrage einbezogen, wie es der Anspruch auf rechtliches Gehör gebietet ( SCHWANDER, a.a.O., S. 477 f.). Der Beschwerdeführer konnte somit alle rechtserheblichen, d.h. die Gewerbeeigenschaft betreffenden Tatsachen vorbringen. Zudem war es ihm (wie in E. 2.3.1 dargelegt) unbenommen, im Scheidungsverfahren die Sistierung des Prozesses zu beantragen und beim LZE eine Feststellungsverfügung zu verlangen; diese hätte er anfechten müssen. Dagegen wäre die Gutheissung der Beschwerde im vorliegenden Fall eine nachträglich eingetretene Tatsache, welche nicht zur Revision des Scheidungsurteils führen kann. Es sind keine Gründe ersichtlich, welche Anlass zu einer Revision geben könnten; solche werden auch nicht dargetan.</w:t>
      </w:r>
    </w:p>
    <w:p>
      <w:r>
        <w:rPr>
          <w:b/>
        </w:rPr>
        <w:t>E. 2.4</w:t>
      </w:r>
    </w:p>
    <w:p>
      <w:r>
        <w:t>Zusammenfassend ergibt sich, dass der Beschwerdeführer bereits bei der Einreichung des Gesuchs um Erlass einer Feststellungsverfügung kein schutzwürdiges Interesse (mehr) hatte an der Feststellung, die Übertragung des Eigentums an der Parzelle Nr. 649 des GB V.________ bedürfe einer Ausnahmebewilligung. Demgemäss ist auch ein schutzwürdiges Interesse im Sinn von Art. 89 Abs. 1 lit. c BGG zu verneinen. Der Beschwerdeführer ist zur Beschwerde nicht legitimiert, so dass darauf nicht eingetreten werden kann. Bei diesem Ausgang des Verfahrens trägt der unterliegende Beschwerdeführer die Kosten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