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2C_279/2011 vom 17. Oktober 2011</w:t>
      </w:r>
    </w:p>
    <w:p>
      <w:r>
        <w:t>Bundesgericht, 2011-10-17, DE</w:t>
      </w:r>
    </w:p>
    <w:p>
      <w:r>
        <w:rPr>
          <w:b/>
        </w:rPr>
        <w:t xml:space="preserve">Quelle: </w:t>
      </w:r>
      <w:r>
        <w:t>https://mcp.opencaselaw.ch/entscheid/bger_2C_279_2011</w:t>
      </w:r>
    </w:p>
    <w:p>
      <w:r>
        <w:t>FR: TF 2C_279/2011 du 17 octobre 2011</w:t>
      </w:r>
    </w:p>
    <w:p>
      <w:r>
        <w:t>IT: TF 2C_279/2011 del 17 ottobre 2011</w:t>
      </w:r>
    </w:p>
    <w:p>
      <w:pPr>
        <w:pStyle w:val="Heading2"/>
      </w:pPr>
      <w:r>
        <w:t>Erwägungen</w:t>
      </w:r>
    </w:p>
    <w:p>
      <w:r>
        <w:rPr>
          <w:b/>
        </w:rPr>
        <w:t>E. 1.1</w:t>
      </w:r>
    </w:p>
    <w:p>
      <w:r>
        <w:t>Angefochten sind zwei Urteile des Verwaltungsgerichts des Kantons Zürich betreffend die Staats- und Gemeindesteuern sowie die direkte Bundessteuer. Sie betreffen die gleichen Sach- und Rechtsfragen, weshalb die beiden Verfahren zu vereinigen sind ( Art. 71 BGG in Verbindung mit Art. 24 BZP ).</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zulässig. Die Beschwerdeführerin ist zur Beschwerde legitimiert ( Art. 89 Abs. 1 BGG ). Aufgrund des Devolutiveffektes ist auf das Begehren, die Entscheide des Kantonalen Steueramtes aufzuheben, nicht einzutreten ( BGE 134 II 142 E. 1.4 S. 144). Diese sind durch die Urteile des Verwaltungsgerichts ersetzt worden, so dass der Antrag als Anfechtung der Verwaltungsgerichtsurteile unter inhaltlicher Mitanfechtung der vorgängigen Entscheide zu verstehen ist (vgl. BGE 129 II 438 E. 1 S. 441 mit Hinweisen).</w:t>
      </w:r>
    </w:p>
    <w:p>
      <w:r>
        <w:t>I. Direkte Bundessteuer</w:t>
      </w:r>
    </w:p>
    <w:p>
      <w:r>
        <w:rPr>
          <w:b/>
        </w:rPr>
        <w:t>E. 2.1</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 Art. 130 Abs. 2 Satz 1 DBG ).</w:t>
      </w:r>
    </w:p>
    <w:p>
      <w:r>
        <w:rPr>
          <w:b/>
        </w:rPr>
        <w:t>E. 2.2</w:t>
      </w:r>
    </w:p>
    <w:p>
      <w:r>
        <w:t>Die Vorinstanz hat mit zutreffender Begründung, auf die verwiesen werden darf, die Voraussetzungen für die Vornahme einer Ermessensveranlagung nach Art. 130 Abs. 2 DBG dargelegt und in haltbarer Weise erwogen, dass mangels Unterlagen zur Begründung der festgestellten Vermögenszunahme das steuerbare Einkommen nach pflichtgemässem Ermessen zu schätzen waren. Unerheblich ist, aus welchen Gründen die Beschwerdeführerin - trotz Mahnungen - die Entstehung und Entwicklung der Vermögenszunahme nicht belegen konnte oder wollte. Für die Vornahme einer Veranlagung nach pflichtgemässem Ermessen genügt es, dass die Steuerfaktoren mangels zuverlässiger Unterlagen nicht einwandfrei ermittelt werden können; ein Verschulden ist nicht erforderlich ( Art. 130 Abs. 2 DBG ).</w:t>
      </w:r>
    </w:p>
    <w:p>
      <w:r>
        <w:rPr>
          <w:b/>
        </w:rPr>
        <w:t>E. 3.1</w:t>
      </w:r>
    </w:p>
    <w:p>
      <w:r>
        <w:t>Eine Veranlagung nach pflichtgemässem Ermessen kann der Steuerpflichtige nur wegen offensichtlicher Unrichtigkeit anfechten. Die Einsprache ist zu begründen und muss allfällige Beweismittel nennen ( Art. 132 Abs. 3 DBG ).</w:t>
      </w:r>
    </w:p>
    <w:p>
      <w:r>
        <w:t>Offensichtlich unrichtig ist eine Schätzung, die einen wesentlichen Gesichtspunkt übergangen oder falsch gewürdigt hat. 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solange sich ihre Schätzung im Rahmen des so gegebenen Spielraums hält, kann das Bundesgericht nicht eingreifen (Urteil 2C_155/2009 vom 22. September 2009 E. 3.2.2 mit Hinweisen).</w:t>
      </w:r>
    </w:p>
    <w:p>
      <w:r>
        <w:rPr>
          <w:b/>
        </w:rPr>
        <w:t>E. 3.2</w:t>
      </w:r>
    </w:p>
    <w:p>
      <w:r>
        <w:t>Die Beschwerdeführerin macht geltend, die Ermessensveranlagung sei offensichtlich unrichtig, weil der Steuerkommissär einfach die ersparten Fr. 140'000.-- zum Einkommen von Fr. 24'300.-- bzw. Fr. 25'500.-- addiert habe.</w:t>
      </w:r>
    </w:p>
    <w:p>
      <w:r>
        <w:t>Bei der Beurteilung dieser Vorbringen ist die besondere Natur der Ermessensveranlagung zu beachten.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hat grundsätzlich nachzuweisen, dass die Ermessensveranlagung den tatsächlichen Verhältnissen nicht entspricht. Mittels umfassendem Unrichtigkeitsnachweis hat er die bisher vorhandene Ungewissheit bezüglich des Sachverhalts zu beseitigen; blosse Teilnachweise genügen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 also beispielsweise eine bisher nicht vorgelegte Steuererklärung nachträglich einreichen - müssen, um die Einsprache genügend begründen zu können (Urteile des Bundesgerichts 2A.72/2004 vom 4. Juli 2005 E. 5, in: StR 60/2005 973, und 2C_620/2007 vom 2. Juli 2008 E. 2.1, in: StE 2009 B 95.1 13).</w:t>
      </w:r>
    </w:p>
    <w:p>
      <w:r>
        <w:t>Vorliegend kann die Beschwerdeführerin zweifellos nicht substanziiert darlegen, wie der im Rahmen der Ermessenseinschätzung aufgerechnete Vermögensbetrag von Fr. 140'000.-- bei ihr im Einzelnen zufloss. Allerdings ist zu beachten, dass dies aufgrund des von ihr vorgebrachten Sachverhalts - wonach sie diesen Betrag während über 20 Jahren erspart habe - praktisch auch kaum möglich war. Zu berücksichtigen ist zudem einerseits, dass die Beschwerdeführerin in den Vorperioden während Jahren ein Einkommen aus unselbständiger Erwerbstätigkeit von durchschnittlich Fr. 33'000.-- (1995 bis 2006) deklariert hat, mit Maximalwerten von etwas über Fr. 61'000.-- (1999) bzw. von etwas über Fr. 50'000.-- (1995). Die von den Vorinstanzen vorgenommene Aufrechnung erhöht demnach das Einkommen aus selbständiger Tätigkeit auf das 5,3-fache - gemessen am genannten Durchschnittseinkommen - bzw. auf das 3,3-fache - gemessen am maximal deklarierten Einkommen. Andererseits werden von den Vorinstanzen keinerlei Anhaltspunkte erwähnt, noch sind solche aus den Akten ersichtlich, welche Hinweise auf die Quellen eines zusätzlichen Einkommens von Fr. 140'000.-- zulassen würden. Angesichts dieser Umstände erscheint das Vorgehen der Vorinstanzen, den gesamten bislang nicht deklarierten Vermögensbetrag als im Jahre 2007 erzieltes Einkommen zu qualifizieren, nicht mit einer pflichtgemässen Einschätzung vereinbar und das Resultat muss als offensichtlich unrichtig betrachtet werden. Nicht zu beanstanden wäre, wenn die Steuerbehörden bei ihrer Aufrechnung pro 2007 auf den deklarierten Maximaleinkommen basiert und allenfalls eine ermessensweise, sachlich zu rechtfertigende Erhöhung vorgenommen hätten, oder wenn die Vermögenserhöhung als aus in der noch offenen Veranlagung und der Nachsteuerperiode erzieltem Einkommen resultierend qualifiziert worden wäre. Soweit das bisher nicht deklarierte Vermögen jedoch diese Rahmen überschreitet, hätte mangels jeglicher Anhaltspunkte dagegen nicht zugrunde gelegt werden dürfen, dass es insgesamt aus im Jahre 2007 erzieltem Einkommen stammt, sondern der fragliche Betrag wäre teilweise als Einkommen aus Vorjahren zu betrachten und gegebenenfalls mit Nachsteuerverfahren zu erfassen gewesen.</w:t>
      </w:r>
    </w:p>
    <w:p>
      <w:r>
        <w:t>II. Staats- und Gemeindesteuern</w:t>
      </w:r>
    </w:p>
    <w:p>
      <w:r>
        <w:rPr>
          <w:b/>
        </w:rPr>
        <w:t>E. 4.1</w:t>
      </w:r>
    </w:p>
    <w:p>
      <w:r>
        <w:t>Die Rechtslage hinsichtlich einer Ermessenstaxation ist bei den Staats- und Gemeindesteuern dieselbe wie bei der direkten Bundessteuer: Nach Art. 46 Abs. 3 StHG bzw. nach § 139 Abs. 2 des Zürcher Steuergesetzes vom 8. Juni 1997 (StG/ZH) ist eine solche dann zulässig, wenn der Steuerpflichtige trotz Mahnung seine Verfahrenspflichten nicht erfüllt hat oder die Steuerfaktoren mangels zuverlässiger Unterlagen nicht einwandfrei ermittelt werden können. Ermessenstaxationen können im Einspracheverfahren (und auch im nachfolgenden Rekursverfahren) nur wegen offensichtlicher Unrichtigkeit angefochten werden; die Einsprache ist zu begründen und muss allfällige Beweismittel nennen (vgl. Art. 48 Abs. 2 StHG und § 140 Abs. 2 StG /ZH). Diese Vorschriften stimmen wörtlich überein mit den entsprechenden Bestimmungen des Bundesgesetzes über die direkte Bundessteuer (vorne E. 2.1 und 3.1).</w:t>
      </w:r>
    </w:p>
    <w:p>
      <w:r>
        <w:rPr>
          <w:b/>
        </w:rPr>
        <w:t>E. 4.2</w:t>
      </w:r>
    </w:p>
    <w:p>
      <w:r>
        <w:t>Das für die direkte Bundessteuer Ausgeführte gilt somit auch für die Staats- und Gemeindesteuern, und es kann auf die vorstehenden Erwägungen hierzu verwiesen werden.</w:t>
      </w:r>
    </w:p>
    <w:p>
      <w:r>
        <w:rPr>
          <w:b/>
        </w:rPr>
        <w:t>E. 5.1</w:t>
      </w:r>
    </w:p>
    <w:p>
      <w:r>
        <w:t>Dies führt zur Gutheissung der Beschwerden.</w:t>
      </w:r>
    </w:p>
    <w:p>
      <w:r>
        <w:t>Heisst das Bundesgericht die Beschwerden gut, so entscheidet es in der Sache selbst oder weist diese zu neuer Beurteilung an die Vorinstanz zurück. Es kann die Sache auch an die Behörde zurückweisen, die als erste Instanz entschieden hat ( Art. 107 Abs. 2 BGG ).</w:t>
      </w:r>
    </w:p>
    <w:p>
      <w:r>
        <w:t>Vorliegend erscheint es angezeigt, die Sache zur Neuveranlagung im Sinne der Erwägungen an das Kantonale Steueramt Zürich zurückzuweisen. Sache des Verwaltungsgerichts wird es sein, über die Kosten- und Entschädigungsfolgen des kantonalen Verfahrens neu zu befinden.</w:t>
      </w:r>
    </w:p>
    <w:p>
      <w:r>
        <w:rPr>
          <w:b/>
        </w:rPr>
        <w:t>E. 5.2</w:t>
      </w:r>
    </w:p>
    <w:p>
      <w:r>
        <w:t>Bei diesem Ausgang des Verfahrens sind die Gerichtskosten dem Kanton Zürich aufzuerlegen, um dessen Vermögensinteressen es vorliegend geht (vgl. Art. 66 Abs. 4 BGG ). Der nicht anwaltlich vertretenen Beschwerdeführerin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