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2C_278/2009 vom 2. Februar 2010</w:t>
      </w:r>
    </w:p>
    <w:p>
      <w:r>
        <w:t>Bundesgericht, 2010-02-02, DE</w:t>
      </w:r>
    </w:p>
    <w:p>
      <w:r>
        <w:rPr>
          <w:b/>
        </w:rPr>
        <w:t xml:space="preserve">Quelle: </w:t>
      </w:r>
      <w:r>
        <w:t>https://mcp.opencaselaw.ch/entscheid/bger_2C_278_2009</w:t>
      </w:r>
    </w:p>
    <w:p>
      <w:r>
        <w:t>FR: TF 2C_278/2009 du 2 février 2010</w:t>
      </w:r>
    </w:p>
    <w:p>
      <w:r>
        <w:t>IT: TF 2C_278/2009 del 2 febbraio 2010</w:t>
      </w:r>
    </w:p>
    <w:p>
      <w:pPr>
        <w:pStyle w:val="Heading2"/>
      </w:pPr>
      <w:r>
        <w:t>Erwägungen</w:t>
      </w:r>
    </w:p>
    <w:p>
      <w:r>
        <w:rPr>
          <w:b/>
        </w:rPr>
        <w:t>E. 1.1</w:t>
      </w:r>
    </w:p>
    <w:p>
      <w:r>
        <w:t>Die Beschwerde ist unter Berücksichtigung des Stillstands der Fristen ( Art. 46 Abs. 1 lit. a BGG ) innert der gesetzlichen Frist ( Art. 100 Abs. 1 BGG ) eingereicht worden und richtet sich gegen den Endentscheid ( Art. 90 BGG ) einer letzten kantonalen Instanz ( Art. 86 Abs. 1 lit. d BGG ) in einer Angelegenheit des öffentlichen Rechts ( Art. 82 lit. a BGG ), die unter keinen Ausschlussgrund nach Art. 83 BGG fällt. Die Beschwerdeführerin ist als Abgabepflichtige vor kantonaler Instanz unterlegen: Sie ist durch den angefochtenen Entscheid deshalb besonders berührt und hat ein schutzwürdiges Interesse an dessen Aufhebung oder Änderung ( Art. 89 Abs. 1 BGG ). Auf die Beschwerde ist grundsätzlich einzutreten.</w:t>
      </w:r>
    </w:p>
    <w:p>
      <w:r>
        <w:rPr>
          <w:b/>
        </w:rPr>
        <w:t>E. 1.2</w:t>
      </w:r>
    </w:p>
    <w:p>
      <w:r>
        <w:t>Mit der Beschwerde kann u.a. die Verletzung von Bundesrecht (einschliesslich der verfassungsmässigen Rechte) gerügt werden ( Art. 95 Abs. 1 lit. a BGG ). Das Bundesgericht wendet das Recht von Amtes wegen an ( Art. 106 Abs. 1 BGG ). Es prüft die Verletzung von Grundrechten und von kantonalem Recht nur insofern, als eine solche Rüge in der Beschwerde vorgebracht und begründet worden ist ( Art. 106 Abs. 2 BGG ). Der angefochtene Entscheid beruht auf kantonalem Recht, dessen Auslegung und Anwendung das Bundesgericht nach Art. 95 lit. a BGG nur unter dem Gesichtswinkel des Willkürverbots ( Art. 9 BV ) überprüft.</w:t>
      </w:r>
    </w:p>
    <w:p>
      <w:r>
        <w:rPr>
          <w:b/>
        </w:rPr>
        <w:t>E. 2.1</w:t>
      </w:r>
    </w:p>
    <w:p>
      <w:r>
        <w:t>Nach der bundesgerichtlichen Rechtsprechung ist ein Entscheid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 133 I 149 E. 3.1 S. 153 ; 132 I 13 E. 5.1 S. 17 f. ; 131 I 467 E. 3.1 S. 473 f., je mit Hinweisen).</w:t>
      </w:r>
    </w:p>
    <w:p>
      <w:r>
        <w:rPr>
          <w:b/>
        </w:rPr>
        <w:t>E. 2.2</w:t>
      </w:r>
    </w:p>
    <w:p>
      <w:r>
        <w:t>Nach Art. 14 des damals noch geltenden Steuergesetzes vom 25. Juni 1989 der Landschaft Davos (aStGDavos) unterliegen Handänderungen an Grundstücken oder Anteilen von solchen der Handänderungssteuer; diese sind, ohne anderslautende Vereinbarung, vom Erwerber zu bezahlen (Art. 17 aStGDavos). Handänderungen an Grundstücken sind, unbekümmert um einen Grundbucheintrag, jeder Eigentumswechsel und jede Übertragung der tatsächlichen oder wirtschaftlichen Verfügungsgewalt über ein Grundstück (Art. 15 aStGDavos). Von einer wirtschaftlichen Handänderung kann dann gesprochen werden, wenn der wesentliche Teil der Verfügungsgewalt über das Grundstück auf den Käufer übertragen wird (vgl. ROBERT MARTIN SCHWARZ, Die Handänderungssteuer im Kanton Graubünden, 1985, S. 165; siehe auch FELIX RICHNER U.A., Kommentar zum harmonisierten Zürcher Steuergesetz, 2. Aufl. 2006, N 63 zu § 216 StGZH). Eine wirtschaftliche Handänderung ist insbesondere auch beim Vorliegen eines sogenannten Kettengeschäftes gegeben (dazu SCHWARZ, a.a.O., S. 144 in Verbindung mit S. 162 ff.). Dieses liegt vor, wenn ein Grundstück vom Veräusserer über eine oder mehrere Personen, welchen nur eine eigentümerähnliche Stellung zukommt, auf einen neuen zivilrechtlichen Eigentümer übertragen wird (SCHWARZ, a.a.O., S. 162). Das am häufigsten anzutreffende Kettengeschäft ist der Kaufvertrag, in dem bereits vertraglich zwischen dem zivilrechtlichen Eigentümer und dem wirtschaftlichen Ersterwerber ein Eintrittsrecht Dritter in den abgeschlossenen, aber noch nicht grundbuchlich vollzogenen Vertrag vereinbart wird (vgl. RICHNER U.A., a.a.O., N 86 zu § 216 StGZH). Dabei ist es nicht notwendig, dass im Rahmen einer wirtschaftlichen Handänderung in der Form des Kettengeschäfts der Kaufvertrag explizit eine solche Substitutionsklausel enthält. Massgebend sind die gesamten Umstände.</w:t>
      </w:r>
    </w:p>
    <w:p>
      <w:r>
        <w:rPr>
          <w:b/>
        </w:rPr>
        <w:t>E. 2.3</w:t>
      </w:r>
    </w:p>
    <w:p>
      <w:r>
        <w:t>Einen Kettenhandel erblicken die Veranlagungsbehörden und die Vorinstanz im Vorgehen der Beschwerdeführerin. Diese macht allerdings geltend, dass sie nie selber über die Grundstücke verfügen konnte. Sie bezieht sich dabei auf die oben erwähnte Aufforderung des kantonalen Grundbuchinspektorats vom 7. Juni 2007. Zur Beurteilung der Frage, ob eine wirtschaftliche Handänderung vorliegt, ist massgebend, ob die Beschwerdeführerin den wesentlichen Teil der Verfügungsgewalt erwirbt. Aus dem Vertrag vom 10. Mai 2007 ergibt sich, dass die Verkäuferin mehrere Grundstücke an die Beschwerdeführerin vorbehaltlos verkauft hat. Dabei wurde ebenfalls festgehalten, dass der Kaufvertrag dem Grundbuch zum Vollzug anzumelden ist. Auch die Beschwerdeführerin ist in ihrem Abtretungsvertrag vom 30. Mai 2007 davon ausgegangen, dass sie vorbehaltlos über die Grundstücke verfügen kann. So wird darin u.a. die Eigentumsübertragung einschliesslich der Grundbuchanmeldung von der Beschwerdeführerin auf die S.________ AG geregelt. Auf Veranlassung des kantonalen Grundbuchinspektorats gab die Verkäuferin am 29. Juni 2007 ohne Gegenleistung schliesslich eine Vollmacht zur modifizierten Grundbuchanmeldung ab. Wenn die Vorinstanz in ihrem Entscheid festgehalten hat, dass dadurch lediglich eine formelle Bereinigung des ursprünglich vorbehaltlosen Willens der Verkäuferin zur Übertragung der Verfügungsgewalt manifestiert wurde, und diese somit bereits von Anfang an ihre Verfügungsmacht aufgegeben und auf die Beschwerdeführerin übertragen hatte, handelte sie nicht willkürlich. Die Verfügungsmacht wird - entgegen der Auffassung der Beschwerdeführerin - somit nicht rückwirkend zugesprochen, sondern sie bestand bereits zu Beginn. Diese Auffassung wird zudem durch den letzten Passus in der Vollmacht zur modifizierten Grundbuchanmeldung unterstützt: Die Verkäuferin erblickte darin lediglich die korrekte Erfüllung des ursprünglichen Kaufvertrages. Kommt hinzu, dass - wie sich aus den Akten ergibt - die Beschwerdeführerin durch Umparzellierungen und Dienstbarkeitserrichtungen Anlass für die modifizierte Grundbuchanmeldung gab. Insgesamt ist nicht ersichtlich, inwiefern der angefochtene Entscheid offensichtlich unhaltbar sein sollte.</w:t>
      </w:r>
    </w:p>
    <w:p>
      <w:r>
        <w:rPr>
          <w:b/>
        </w:rPr>
        <w:t>E. 3.1</w:t>
      </w:r>
    </w:p>
    <w:p>
      <w:r>
        <w:t>Die Beschwerde erweist sich als unbegründet und ist demnach abzuweisen, soweit darauf eingetreten wird.</w:t>
      </w:r>
    </w:p>
    <w:p>
      <w:r>
        <w:rPr>
          <w:b/>
        </w:rPr>
        <w:t>E. 3.2</w:t>
      </w:r>
    </w:p>
    <w:p>
      <w:r>
        <w:t>Dem Verfahrensausgang entsprechend hat die unterliegende Beschwerdeführerin die Gerichtskosten zu tragen ( Art. 66 Abs. 1 und 65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