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2C_277/2024 vom 3. Juni 2024</w:t>
      </w:r>
    </w:p>
    <w:p>
      <w:r>
        <w:t>Bundesgericht, 2024-06-03, FR</w:t>
      </w:r>
    </w:p>
    <w:p>
      <w:r>
        <w:rPr>
          <w:b/>
        </w:rPr>
        <w:t xml:space="preserve">Quelle: </w:t>
      </w:r>
      <w:r>
        <w:t>https://mcp.opencaselaw.ch/entscheid/bger_2C_277_2024</w:t>
      </w:r>
    </w:p>
    <w:p>
      <w:r>
        <w:t>FR: TF 2C_277/2024 du 3 juin 2024</w:t>
      </w:r>
    </w:p>
    <w:p>
      <w:r>
        <w:t>IT: TF 2C_277/2024 del 3 giugno 2024</w:t>
      </w:r>
    </w:p>
    <w:p>
      <w:pPr>
        <w:pStyle w:val="Heading2"/>
      </w:pPr>
      <w:r>
        <w:t>Erwägungen</w:t>
      </w:r>
    </w:p>
    <w:p>
      <w:r>
        <w:rPr>
          <w:b/>
        </w:rPr>
        <w:t>E. 1</w:t>
      </w:r>
    </w:p>
    <w:p>
      <w:r>
        <w:t>Par décision sur recours du 21 mars 2024, le Département de l'emploi et de la cohésion sociale du canton de Neuchâtel a fixé à B.A.________, ressortissant français né le 22 octobre 1973, un délai pour quitter la Suisse.</w:t>
      </w:r>
    </w:p>
    <w:p>
      <w:r>
        <w:t>Par courrier du 5 avril 2024, le Département de l'emploi et de la cohésion sociale lui a fixé un nouveau délai au 31 mai 2024 pour quitter la Suisse, conformément à sa décision du 21 mars 2024.</w:t>
      </w:r>
    </w:p>
    <w:p>
      <w:r>
        <w:t>Le 1er mai 2024, B.A.________ et son père, A.A.________, ont interjeté un recours auprès du Tribunal cantonal du canton de Neuchâtel (ci-après : le Tribunal cantonal) contre la décision rendue le 21 mars 2024 par le Département de l'emploi et de la cohésion sociale.</w:t>
      </w:r>
    </w:p>
    <w:p>
      <w:r>
        <w:rPr>
          <w:b/>
        </w:rPr>
        <w:t>E. 2</w:t>
      </w:r>
    </w:p>
    <w:p>
      <w:r>
        <w:t>Par courrier du 3 mai 2024, adressé uniquement à B.A.________, le Tribunal cantonal a invité celui-ci à verser une avance de frais de 880 fr., dans les trente jours dès réception du courrier, sous peine d'irrecevabilité.</w:t>
      </w:r>
    </w:p>
    <w:p>
      <w:r>
        <w:rPr>
          <w:b/>
        </w:rPr>
        <w:t>E. 3</w:t>
      </w:r>
    </w:p>
    <w:p>
      <w:r>
        <w:t>Le 28 mai 2024, A.A.________ a adressé un recours au Tribunal fédéral contre le courrier du 3 mai 2024. Il se plaint d'avoir été exclu de l'intitulé du courrier du 3 mai 2024 et de n'avoir pas été mentionné comme destinataire sans justification en violation des art. 13 CEDH et 32 LPJA/NE.</w:t>
      </w:r>
    </w:p>
    <w:p>
      <w:r>
        <w:t>Il n'a pas été ordonné d'échange des écritures.</w:t>
      </w:r>
    </w:p>
    <w:p>
      <w:r>
        <w:rPr>
          <w:b/>
        </w:rPr>
        <w:t>E. 4</w:t>
      </w:r>
    </w:p>
    <w:p>
      <w:r>
        <w:t>Le Tribunal fédéral examine d'office sa compétence ( art. 29 al. 1 LTF ). Il contrôle donc librement la recevabilité des recours qui lui sont soumis ( ATF 148 I 160 consid. 1).</w:t>
      </w:r>
    </w:p>
    <w:p>
      <w:r>
        <w:rPr>
          <w:b/>
        </w:rPr>
        <w:t>E. 4.1</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 en tant que Cour suprême, le Tribunal fédéral ne doit en principe s'occuper qu'une seule fois d'une affaire, et ce à la fin de la procédure ( ATF 149 II 170 consid. 1.3; 142 II 363 consid. 1.3). Ces dispositions légales s'appliquent également, par renvoi de l' art. 117 LTF , aux décisions pouvant faire l'objet d'un recours constitutionnel subsidiaire.</w:t>
      </w:r>
    </w:p>
    <w:p>
      <w:r>
        <w:t>Cela signifie concrètement que le présent recours n'est recevable que si la partie recourante est exposée à un risque de préjudice irréparable au sens de l' art. 93 al. 1 let. a LTF , la condition alternative prévue par l' art. 93 al. 1 let. b LTF n'entrant à l'évidence pas en ligne de compte en l'espèce. Or, selon la jurisprudence, une décision incidente peut causer un préjudice irréparable à une partie lorsque celle-ci risque de subir un dommage qu'une décision finale favorable sur le fond ne ferait pas disparaître complètement; il faut par ailleurs un dommage de nature juridique, tandis qu'un inconvénient seulement matériel, résultant par exemple d'un accroissement de la durée et des frais de la procédure, est insuffisant ( ATF 147 III 159 consid. 4.1; 142 III 798 consid. 2.2). Il incombe à la partie recourante d'indiquer de manière détaillée en quoi elle se trouve menacée d'un préjudice juridique irréparable par la décision incidente qu'elle conteste, à moins qu'un tel préjudice n'apparaisse manifeste; à défaut, son recours est irrecevable ( ATF 147 III 159 consid. 4.1; 141 III 80 consid. 1.2; 137 III 324 consid. 1.1).</w:t>
      </w:r>
    </w:p>
    <w:p>
      <w:r>
        <w:rPr>
          <w:b/>
        </w:rPr>
        <w:t>E. 4.2</w:t>
      </w:r>
    </w:p>
    <w:p>
      <w:r>
        <w:t>En l'occurrence, le recourant n'explique pas et le Tribunal fédéral ne voit pas en quoi le fait de n'être pas mentionné comme destinataire sur le courrier du 3 mai 2024, dont le contenu ne met pas fin à la procédure de recours initiée le 1er mai 2024, lui causerait, au titre</w:t>
      </w:r>
    </w:p>
    <w:p>
      <w:r>
        <w:t>de décision incidente de conduite de la procédure, un préjudice irréparable. A tout le moins, à supposer qu'il s'agisse d'une omission, celle-ci n'empêcherait nullement le paiement de l'avance de frais dans le délai imparti. En l'absence de motivation tendant à exposer en quoi le recourant subirait un dommage irréparable, les exigences de l' art. 93 al. 1 let. a LTF ne sont pas remplies.</w:t>
      </w:r>
    </w:p>
    <w:p>
      <w:r>
        <w:rPr>
          <w:b/>
        </w:rPr>
        <w:t>E. 5</w:t>
      </w:r>
    </w:p>
    <w:p>
      <w:r>
        <w:t>Les considérants qui précèdent conduisent ainsi à l'irrecevabilité manifeste du recours ( art. 108 al. 1 let. a LTF ) qui est prononcée selon la procédure simplifiée de l' art. 108 LTF .</w:t>
      </w:r>
    </w:p>
    <w:p>
      <w:r>
        <w:t>Il n'est pas perçu de frais judiciaires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