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272/2019 vom 9. Dezember 2019</w:t>
      </w:r>
    </w:p>
    <w:p>
      <w:r>
        <w:t>Bundesgericht, 2019-12-09, DE</w:t>
      </w:r>
    </w:p>
    <w:p>
      <w:r>
        <w:rPr>
          <w:b/>
        </w:rPr>
        <w:t xml:space="preserve">Quelle: </w:t>
      </w:r>
      <w:r>
        <w:t>https://mcp.opencaselaw.ch/entscheid/bger_2C_272_2019</w:t>
      </w:r>
    </w:p>
    <w:p>
      <w:r>
        <w:t>FR: TF 2C 272/2019 du 9 décembre 2019</w:t>
      </w:r>
    </w:p>
    <w:p>
      <w:r>
        <w:t>IT: TF 2C 272/2019 del 9 dicembre 2019</w:t>
      </w:r>
    </w:p>
    <w:p>
      <w:pPr>
        <w:pStyle w:val="Heading2"/>
      </w:pPr>
      <w:r>
        <w:t>Regeste</w:t>
      </w:r>
    </w:p>
    <w:p>
      <w:r>
        <w:t>Abstrakte Normenkontrolle Kurtaxenreglement Bürchen | Öffentliche Finanzen &amp; Abgaberecht</w:t>
      </w:r>
    </w:p>
    <w:p>
      <w:pPr>
        <w:pStyle w:val="Heading2"/>
      </w:pPr>
      <w:r>
        <w:t>Erwägungen</w:t>
      </w:r>
    </w:p>
    <w:p>
      <w:r>
        <w:rPr>
          <w:b/>
        </w:rPr>
        <w:t>E. 1</w:t>
      </w:r>
    </w:p>
    <w:p>
      <w:r>
        <w:t>Die Beschwerde in öffentlich-rechtlichen Angelegenheiten gegen Art. 6 Abs. 2 und Abs. 3 des geänderten Kurtaxenreglements ( BGE 122 I 222 E. 1b/aa S. 224 f.; Urteil 2C_12/2011 vom 6. Juli 2011 E. 4.1) ist zwar in dem Umfang zulässig ( Art. 82 lit. b BGG ), als die Beschwerdeführer deren Aufhebung beantragen ( BGE 133 I 206 E. 13.1 S. 232 ; 124 I 127 E. 6a S. 137; 110 Ia 7 E. 6 S. 26; Urteil 2C_742/2017 vom 8. Oktober 2018 E. 1.2). Sie ist jedoch offensichtlich unbegründet, weshalb sie mit summarischer Begründung abgewiesen wird ( Art. 109 Abs. 2 lit. a BGG ).</w:t>
      </w:r>
    </w:p>
    <w:p>
      <w:r>
        <w:rPr>
          <w:b/>
        </w:rPr>
        <w:t>E. 2.1</w:t>
      </w:r>
    </w:p>
    <w:p>
      <w:r>
        <w:t>Als zum Vornherein unbegründet erweist sich die Rüge der Verletzung des rechtlichen Gehörs ( Art. 29 Abs. 2 BV ). In Verfahren auf Erlass von generell-abstrakten Regelungen kommt dem rechtlichen Gehör zum Vornherein nicht die Bedeutung zu, welche die Beschwerdeführer ihr zumessen möchten (Urteil 2C_519/2016 vom 4. September 2017 E. 3.2.4, mit zahlreichen Hinweisen). Dies wird unter anderem damit begründet, dass generell-abstrakte Regelungen die Rechtsunterworfenen in der Regel nicht derart unmittelbar berühren, dass individuelle Anhörungen gerechtfertigt wären ( BGE 119 Ia 141 E. 5c S. 149 f.). Insofern die Beschwerdeführer als "Spezialadressaten" des Kurtaxenreglements angesehen werden könnten (vgl. dazu Urteil 2C_519/2016 vom 4. September 2017 E. 3.2.5), wäre ihnen entgegenzuhalten, dass unbestrittenermassen am 29. Dezember 2018 eine Informationsveranstaltung abgehalten wurde und die Beschwerdeführer daran teilgenommen haben. Die Rüge der Verletzung des rechtlichen Gehörs erweist sich damit als unbegründet (Urteil 2C_519/2016 vom 4. September 2017 E. 3.2.7).</w:t>
      </w:r>
    </w:p>
    <w:p>
      <w:r>
        <w:rPr>
          <w:b/>
        </w:rPr>
        <w:t>E. 2.2</w:t>
      </w:r>
    </w:p>
    <w:p>
      <w:r>
        <w:t>Wie das Departement für Volkswirtschaft und Bildung des Kantons Wallis in seiner Stellungsnahme vom 11. Februar 2019 zum Gesuch der Gemeinde um Homologation zutreffend vorträgt, hat das Bundesgericht im Urteil 2C_742/2017 vom 8. Oktober 2018 E. 4.6 erwogen, eine sowohl auf dem Eigenbedarf wie auch der Vermietung basierende durchschnittliche Belegung von 25 Nächten sei für die Einwohnergemeinde Bürchen statistisch belegt. Um die Kurtaxe weiter zu erheben, könne die zuständige Gemeindeversammlung einstweilen einen sich darauf beziehenden Durchschnitt beschliessen und dürfte mit Blick auf die Dunkelziffer eine massvolle Aufrundung allenfalls noch haltbar sein; soweit weitergehend verlange Art. 21 Abs. 3bis TG /VS jedoch einen detallierten und transparenten Berechnungsnachweis. Im geänderten Art. 6 Kurtaxenreglement ist die Einwohnergemeinde Bürchen wieder auf den seit Jahrzehnten ihren Reglementen zu Grunde liegenden Durchschnittswert von 30 Nächten zurückgekommen. Angesichts dessen, dass die Beschwerdeführer nicht geltend machen, jene Reglemente angefochten zu haben bzw. nicht vortragen, dem angefochtenen Reglement würde gegenüber jenen eine neue Bedeutung zukommen (siehe zur Voraussetzung der Änderung für eine Anfechtbarkeit BGE 122 I 222 E. 1b/aa S. 224 f.) sowie im Hinblick auf einen Quervergleich erscheint die Zahl von 30 auch weiterhin als zulässig (Urteil 2C_825/2017 vom 8. Oktober 2018 E. 4.4 in fine). Das Zahlenmaterial, welches die Beschwerdeführer ihrer Beschwerde zu Grunde legen, belegt nicht, dass die Zahl von 30 unter Berücksichtigung einer realistischen Dunkelziffer klar zu hoch wäre. Aus der von ihnen beigelegten Wohnungsliste ergibt sich die Aufteilung zwischen Erst- und Zweitwohnungen nicht, so dass die von ihnen zugrunde gelegte Zahl von 800 bis 830 Ferienwohnungen unbelegt bleibt. Auch lässt sich daraus nicht auf die Zahl der Betten schliessen, was für die Umrechnung der abgerechneten Kurtaxen auf die Übernachtungszahlen erforderlich wäre. Wohl ist auch die Zahl von 30 nicht zweifelsfrei nachgewiesen. Die Beschwerdeführer übersehen jedoch in grundsätzlicher Weise, dass Art. 21 Abs. 3bis TG /VS nur verlangt, dass die Pauschale "unter Beachtung des durchschnittlichen Belegungsgrades" festgelegt werden muss, nicht jedoch in mathematisch präziser Korrelation (Urteil 2C_519/2016 vom 4. September 2017 E. 3.6.4).</w:t>
      </w:r>
    </w:p>
    <w:p>
      <w:r>
        <w:rPr>
          <w:b/>
        </w:rPr>
        <w:t>E. 2.3</w:t>
      </w:r>
    </w:p>
    <w:p>
      <w:r>
        <w:t>Mit der Rüge der Verletzung des Rechtsgleichheitsgebots ( Art. 8 Abs. 1 BV ) übersehen die Beschwerdeführer, dass sich die unterschiedliche Behandlung von Personen mit oder ohne Wohnsitz in der Einwohnergemeinde Bürchen aus dem unverändert gebliebenen Art. 3 des Kurtaxenreglements ergibt. Die in der Rechtsprechung aufgestellten Voraussetzungen für eine Anfechtbarkeit von Art. 3 des Kurtaxenreglements liegen nicht vor ( BGE 122 I 222 E. 1b/aa S. 224), und die Beschwerdeführer haben diesen Art. 3 des Kurtaxenreglements denn auch nicht angefochten. Auf die Rüge der Verletzung des Rechtsgleichheitsgebots ( Art. 8 Abs. 1 BV ) ist nicht weiter einzugehen.</w:t>
      </w:r>
    </w:p>
    <w:p>
      <w:r>
        <w:rPr>
          <w:b/>
        </w:rPr>
        <w:t>E. 3</w:t>
      </w:r>
    </w:p>
    <w:p>
      <w:r>
        <w:t>Damit erweist sich die Beschwerde als offensichtlich unbegründet und ist mit dieser summarischen Begründung (Art. 109 Abs. 2 lit. a in Verbindung mit Art. 117 BGG ) abzuweisen.</w:t>
      </w:r>
    </w:p>
    <w:p>
      <w:r>
        <w:rPr>
          <w:b/>
        </w:rPr>
        <w:t>E. 4</w:t>
      </w:r>
    </w:p>
    <w:p>
      <w:r>
        <w:t>Bei diesem Verfahrensausgang sind die Gerichtskosten den Beschwerdeführern zu gleichen Teilen und unter solidarischer Haftung aufzuerlegen ( Art. 66 Abs. 1 und Abs. 5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