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2C_271/2025 vom 28. Mai 2025</w:t>
      </w:r>
    </w:p>
    <w:p>
      <w:r>
        <w:t>Bundesgericht, 2025-05-28, DE</w:t>
      </w:r>
    </w:p>
    <w:p>
      <w:r>
        <w:rPr>
          <w:b/>
        </w:rPr>
        <w:t xml:space="preserve">Quelle: </w:t>
      </w:r>
      <w:r>
        <w:t>https://mcp.opencaselaw.ch/entscheid/bger_2C_271_2025</w:t>
      </w:r>
    </w:p>
    <w:p>
      <w:r>
        <w:t>FR: TF 2C_271/2025 du 28 mai 2025</w:t>
      </w:r>
    </w:p>
    <w:p>
      <w:r>
        <w:t>IT: TF 2C_271/2025 del 28 maggio 2025</w:t>
      </w:r>
    </w:p>
    <w:p>
      <w:pPr>
        <w:pStyle w:val="Heading2"/>
      </w:pPr>
      <w:r>
        <w:t>Erwägungen</w:t>
      </w:r>
    </w:p>
    <w:p>
      <w:r>
        <w:rPr>
          <w:b/>
        </w:rPr>
        <w:t>E. 1.1</w:t>
      </w:r>
    </w:p>
    <w:p>
      <w:r>
        <w:t>Mit Verfügung vom 6. Februar 2025 verneinte das Staatssekretariat für Migration (SEM) die Flüchtlingseigenschaft des nigerianischen Staatsangehörigen A.________ (geb. 1997), wies dessen Asylgesuch vom 5. Dezember 2024 ab und ordnete seine Wegweisung aus der Schweiz sowie den Vollzug an.</w:t>
      </w:r>
    </w:p>
    <w:p>
      <w:r>
        <w:t>Gegen diesen Entscheid erhob A.________ am 10. März 2025 Beschwerde an das Bundesverwaltungsgericht.</w:t>
      </w:r>
    </w:p>
    <w:p>
      <w:r>
        <w:rPr>
          <w:b/>
        </w:rPr>
        <w:t>E. 1.2</w:t>
      </w:r>
    </w:p>
    <w:p>
      <w:r>
        <w:t>Mit Zwischenverfügung vom 13. März 2025 ordnete der Instruktionsrichter am Bundesverwaltungsgericht an, dass A.________ den Ausgang des Verfahrens in der Schweiz abwarten darf. Zudem wies er die im Rahmen der Beschwerde gestellten Gesuche um Gewährung der unentgeltlichen Prozessführung und um Beiordnung eines amtlichen Rechtsbeistands ab und forderte A.________ auf, bis zum 28. März 2025 einen Kostenvorschuss in der Höhe von Fr. 2'000.-- zu bezahlen.</w:t>
      </w:r>
    </w:p>
    <w:p>
      <w:r>
        <w:rPr>
          <w:b/>
        </w:rPr>
        <w:t>E. 1.3</w:t>
      </w:r>
    </w:p>
    <w:p>
      <w:r>
        <w:t>A.________ gelangt mit Eingabe vom 26. Mai 2025 (Postaufgabe) an das Bundesgericht und beantragt die Aufhebung der Zwischenverfügung des Bundesverwaltungsgerichts vom 13. März 2025, die Gewährung der unentgeltlichen Rechtspflege und die Aussetzung der Wegweisung. Ferner ersucht er das Bundesgericht, seinen Asylantrag neu zu prüfen.</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w:t>
      </w:r>
    </w:p>
    <w:p>
      <w:r>
        <w:t>Die Beschwerde in öffentlich-rechtlichen Angelegenheiten ist zudem ausgeschlossen gegen Entscheide auf dem Gebiet des Ausländerrechts betreffend die Wegweisung ( Art. 83 lit. c Ziff. 4 BGG ).</w:t>
      </w:r>
    </w:p>
    <w:p>
      <w:r>
        <w:rPr>
          <w:b/>
        </w:rPr>
        <w:t>E. 2.3</w:t>
      </w:r>
    </w:p>
    <w:p>
      <w:r>
        <w:t>Angefochten ist vorliegend eine Zwischenverfügung des Bundesverwaltungsgerichts, mit welcher unter anderem ein Gesuch des Beschwerdeführers um Gewährung der unentgeltlichen Prozessführung und um Beiordnung eines amtlichen Rechtsbeistands abgewiesen und er aufgefordert wurde, einen Kostenvorschuss zu bezahlen. Bei Zwischenentscheiden folgt der Rechtsweg demjenigen der Hauptsache (vgl. BGE 147 III 451 E. 1.3; 137 III 380 E. 1.1; Urteil 2C_451/2024 vom 2. Oktober 2024 E. 4.1 mit Hinweisen). In der Sache geht es um die Abweisung eines Asylgesuchs des Beschwerdeführers sowie um seine Wegweisung. Folglich ist die Beschwerde in öffentlich-rechtlichen Angelegenheiten unzulässig.</w:t>
      </w:r>
    </w:p>
    <w:p>
      <w:r>
        <w:rPr>
          <w:b/>
        </w:rPr>
        <w:t>E. 2.4</w:t>
      </w:r>
    </w:p>
    <w:p>
      <w:r>
        <w:t>Die Eingabe kann auch nicht als subsidiäre Verfassungsbeschwerde entgegengenommen werden, da diese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Damit wäre ein allfälliges Gesuch des Beschwerdeführers um unentgeltliche Rechtspflege für das bundesgerichtliche Verfahren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