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2C_271/2016 vom 29. März 2016</w:t>
      </w:r>
    </w:p>
    <w:p>
      <w:r>
        <w:t>Bundesgericht, 2016-03-29, DE</w:t>
      </w:r>
    </w:p>
    <w:p>
      <w:r>
        <w:rPr>
          <w:b/>
        </w:rPr>
        <w:t xml:space="preserve">Quelle: </w:t>
      </w:r>
      <w:r>
        <w:t>https://mcp.opencaselaw.ch/entscheid/bger_2C_271_2016</w:t>
      </w:r>
    </w:p>
    <w:p>
      <w:r>
        <w:t>FR: TF 2C_271/2016 du 29 mars 2016</w:t>
      </w:r>
    </w:p>
    <w:p>
      <w:r>
        <w:t>IT: TF 2C_271/2016 del 29 marzo 2016</w:t>
      </w:r>
    </w:p>
    <w:p>
      <w:pPr>
        <w:pStyle w:val="Heading2"/>
      </w:pPr>
      <w:r>
        <w:t>Erwägungen</w:t>
      </w:r>
    </w:p>
    <w:p>
      <w:r>
        <w:rPr>
          <w:b/>
        </w:rPr>
        <w:t>E. 1</w:t>
      </w:r>
    </w:p>
    <w:p>
      <w:r>
        <w:t>Am 7. September 2015 verfügte das Eidgenössische Finanzdepartement die Abweisung eines Schadenersatzbegehrens von A.________ und der X.________ GmbH. Dagegen gelangten A.________ und die Gesellschaft an das Bundesverwaltungsgericht. Dieses gab mit Zwischenverfügung vom 29. September 2015 unter anderem den Spruchkörper bekannt. Nachdem die Betroffenen am 1. Dezember 2015 "einen Befangenheitsantrag... gegen den Spruchkörper und Richter wegen Involvierung von Entscheidungen in vorherigen Verfahren" gestellt hatten, wurden sie aufgefordert, bis zum 6. Januar 2016 mitzuteilen, gegen wen konkret sich der Befangenheitsantrag richte und welcher konkrete Ausstandsgrund bei jeder der genannten Personen vorliege. Die Frist blieb unbenützt. Auch im separaten für das Ausstandsverfahren eröffneten Verfahren wurde den Betroffenen mit Zwischenverfügung vom 20. Januar 2016 Frist gesetzt bis 10. Februar 2016, um ein allfälliges Ausstandsbegehren gegen die hierfür eingesetzten Gerichtspersonen einzureichen; auch diese Frist verstrich unbenützt.</w:t>
      </w:r>
    </w:p>
    <w:p>
      <w:r>
        <w:t>Das Bundesverwaltungsgericht fällte am 14. März 2016 einen Zwischenentscheid. Zunächst hielt es fest, dass die Zwischenverfügung vom 20. Januar 2016 als zugestellt gelten würde (Zustellfiktion bei nicht abgeholten eingeschriebenen Sendungen), sodass mangels Reaktion der Betroffenen das Ausstandsverfahren in der hierfür vorgesehenen Besetzung durchzuführen sei. Sodann beurteilte es das Ausstandsbegehren hinsichtlich des für das Hauptverfahren vorgesehenen Spruchkörpers und erkannte, dass kein Ausstandsgrund ersichtlich sei. Entsprechend wies es das Ausstandsbegehren ab.</w:t>
      </w:r>
    </w:p>
    <w:p>
      <w:r>
        <w:t>Mit vom 20. März 2016 datierter, am 23. März 2016 zur Post gegebener Eingabe, äussern sich A.________ und die X.________ GmbH zum Entscheid des Bundesverwaltungsgerichts.</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gezielt mit den für das Ergebnis des angefochtenen Entscheids massgeblichen Erwägungen auseinanderzusetzen. Eine derartige Begründung fehlt hier vollständig. Es wird in keiner Weise Bezug genommen auf den vorstehend kurz wiedergegebenen Inhalt des Entscheids des Bundesverwaltungsgerichts. Die Beschwerde enthält offensichtlich keine hinreichende Begründung; es ist darauf mit Entscheid des Abteilungspräsidenten als Einzelrichter im vereinfachten Verfahren nach Art. 108 BGG nicht einzutreten.</w:t>
      </w:r>
    </w:p>
    <w:p>
      <w:r>
        <w:t>Die Gerichtskosten sind nach Massgabe von Art. 65, Art. 66 Abs. 1 und Abs. 5 BGG den Beschwerdeführerinnen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