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2C_270/2017 vom 30. November 2017</w:t>
      </w:r>
    </w:p>
    <w:p>
      <w:r>
        <w:t>Bundesgericht, 2017-11-30, DE</w:t>
      </w:r>
    </w:p>
    <w:p>
      <w:r>
        <w:rPr>
          <w:b/>
        </w:rPr>
        <w:t xml:space="preserve">Quelle: </w:t>
      </w:r>
      <w:r>
        <w:t>https://mcp.opencaselaw.ch/entscheid/bger_2C_270_2017</w:t>
      </w:r>
    </w:p>
    <w:p>
      <w:r>
        <w:t>FR: TF 2C_270/2017 du 30 novembre 2017</w:t>
      </w:r>
    </w:p>
    <w:p>
      <w:r>
        <w:t>IT: TF 2C_270/2017 del 30 novembre 2017</w:t>
      </w:r>
    </w:p>
    <w:p>
      <w:pPr>
        <w:pStyle w:val="Heading2"/>
      </w:pPr>
      <w:r>
        <w:t>Erwägungen</w:t>
      </w:r>
    </w:p>
    <w:p>
      <w:r>
        <w:rPr>
          <w:b/>
        </w:rPr>
        <w:t>E. 1</w:t>
      </w:r>
    </w:p>
    <w:p>
      <w:r>
        <w:t>Gegen den Entscheid eines oberen kantonalen Gerichts betreffend den Widerruf der Niederlassungsbewilligung steht die Beschwerde in öffentlich-rechtlichen Angelegenheiten offen ( Art. 82 lit. a, Art. 86 Abs. 1 lit. d und Abs. 2 BGG ), weil grundsätzlich ein Anspruch auf den Fortbestand der Niederlassungsbewilligung gegeben ist ( Art. 83 lit. c Ziff. 2 BGG e contrario; BGE 135 II 1 E. 1.2.1 S. 4). Die Beschwerde wurde unter Einhaltung der gesetzlichen Frist ( Art. 100 Abs. 1 BGG ) und Form ( Art. 42 BGG ) eingereicht und der Beschwerdeführer ist zur Erhebung des Rechtsmittels legitimiert ( Art. 89 Abs. 1 BGG ). Auf die Beschwerde in öffentlich-rechtlichen Angelegenheiten ist somit einzutreten. Damit bleibt für die subsidiäre Verfassungsbeschwerde kein Raum ( Art. 113 BGG ), weshalb darauf nicht einzutreten ist.</w:t>
      </w:r>
    </w:p>
    <w:p>
      <w:r>
        <w:rPr>
          <w:b/>
        </w:rPr>
        <w:t>E. 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Neue Tatsachen und Beweismittel dürfen vor Bundesgericht nur so weit vorgebracht werden, als erst der Entscheid der Vorinstanz dazu Anlass gibt ( Art. 99 Abs. 1 BGG ). Echte Noven, d.h. solche Tatsachen, die erst nach dem angefochtenen Entscheid aufgetreten sind, können nicht durch den angefochtenen Entscheid veranlasst worden sein und sind deshalb unzulässig (vgl. BGE 143 V 19 E. 1.2 S. 23).</w:t>
      </w:r>
    </w:p>
    <w:p>
      <w:r>
        <w:rPr>
          <w:b/>
        </w:rPr>
        <w:t>E. 3.1</w:t>
      </w:r>
    </w:p>
    <w:p>
      <w:r>
        <w:t>Die Niederlassungsbewilligung kann widerrufen werden, wenn die ausländische Person zu einer längerfristigen Freiheitsstrafe, d.h. zu einer solchen von mehr als einem Jahr, verurteilt worden ist (Art. 63 Abs. 1 lit. a i.V.m. Art. 62 Abs. 1 lit. b AuG [SR 142.20]; BGE 139 I 31 E. 2.1 S. 36). Keine Rolle spielt, ob die Sanktion bedingt, teilbedingt oder unbedingt ausgesprochen wurde ( BGE 139 I 16 E. 2.1 S. 18 ; 139 I 31 E. 2.1 S. 32). Der Widerrufsgrund von Art. 62 Abs. 1 lit. b AuG gilt auch für Personen, welche - wie der Beschwerdeführer - mehr als 15 Jahre ununterbrochen und ordnungsgemäss in der Schweiz gelebt haben (vgl. Art. 63 Abs. 2 AuG).</w:t>
      </w:r>
    </w:p>
    <w:p>
      <w:r>
        <w:t>Aufgrund der Verurteilung des Beschwerdeführers zu einer Freiheitsstrafe von 24 Monaten liegt unbestrittenermassen ein Widerrufsgrund im Sinne der genannten Bestimmungen vor.</w:t>
      </w:r>
    </w:p>
    <w:p>
      <w:r>
        <w:rPr>
          <w:b/>
        </w:rPr>
        <w:t>E. 3.2</w:t>
      </w:r>
    </w:p>
    <w:p>
      <w:r>
        <w:t>Der Widerruf muss verhältnismässig sein (Art. 96 Abs. 1 AuG), was sich bei Ausländern, die sich - wie der Beschwerdeführer - auf Art. 8 EMRK berufen können, auch aus dessen Ziff. 2 ergibt. Dies erfordert eine Interessenabwägung unter Berücksichtigung aller wesentlichen Umstände des Einzelfalls. Landesrechtlich wie konventionsrechtlich sind dabei namentlich die Art und Schwere der vom Betroffenen begangenen Straftaten und des Verschuldens, der Grad der Integration bzw. die Dauer der bisherigen Anwesenheit in der Schweiz sowie die dem Betroffenen und seiner Familie drohenden Nachteile zu berücksichtigen ( BGE 139 I 145 E. 2.4 S. 149 ; 139 I 31 E. 2.3.3 S. 34 ff.). Die Niederlassungsbewilligung eines Ausländers, der sich schon seit langer Zeit hier aufhält, soll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und muss selbst ein geringes Restrisiko weiterer Delinquenz nicht in Kauf genommen werden (vgl. BGE 139 I 31 E. 2.3.1 S. 33 f.).</w:t>
      </w:r>
    </w:p>
    <w:p>
      <w:r>
        <w:rPr>
          <w:b/>
        </w:rPr>
        <w:t>E. 3.3</w:t>
      </w:r>
    </w:p>
    <w:p>
      <w:r>
        <w:t>Mit Urteil des Bezirksgerichts Bremgarten vom 7. Mai 2015 wurde der Beschwerdeführer wegen Verbrechen nach Art. 19 Abs. 2 lit. b des Betäubungsmittelgesetzes zu einer teilbedingten Freiheitsstrafe von 24 Monaten verurteilt. Er hatte sich konkret der Herstellung und Vorbereitung zum Verkauf von Betäubungsmitteln schuldig gemacht. Die Begehung der Straftaten erfolgte professionell, organisiert und bandenmässig. Er handelte aus rein finanziellen Motiven, ohne selbst drogenabhängig zu sein.</w:t>
      </w:r>
    </w:p>
    <w:p>
      <w:r>
        <w:t>Der Beschwerdeführer hat hochwertige Rechtsgüter verletzt bzw. eine Straftat begangen, welche im Sinne von Art. 121 Abs. 3 BV seit dem 1. Oktober 2016 eine Anlasstat für eine obligatorische Landesverweisung bildet ( Art. 66a Abs. 1 lit. o StGB ). Auch wenn diese Neuregelung nicht rückwirkend auf den Beschwerdeführer Anwendung findet, kommt darin zum Ausdruck, dass der Verfassungs- und Gesetzgeber Betäubungsmitteldelikte als besonders verwerflich erachtet, was bei der Interessenabwägung berücksichtigt werden darf.</w:t>
      </w:r>
    </w:p>
    <w:p>
      <w:r>
        <w:t>Negativ fällt sodann ins Gewicht, dass es sich nicht um eine einmalige Verfehlung handelt, hat der Beschwerdeführer doch bereits zuvor zahlreiche Straftaten in verschiedenen Deliktsfeldern begangen. So wurde er vor der verfahrensauslösenden Verurteilung u.a. wegen Betruges, Urkundenfälschung, Tätlichkeit, Gehilfenschaft zu Einbruchsdiebstählen, Hehlerei, Strassenverkehrsdelikten und Ungehorsams im Betreibungs- und Konkursverfahren zu Freiheitsstrafen von insgesamt 25 Monaten, Geldstrafen von insgesamt 90 Tagessätzen sowie Bussen in Höhe von über Fr. 6'500.-- verurteilt. Weder die verhängten Strafen noch zwei ausländerrechtliche Verwarnungen haben ihn zu einer Veränderung seines Verhaltens bewegt. Erschwerend kommt hinzu, dass ihm das Rekursgericht mit Urteil vom 3. Mai 2012 unmissverständlich eine allerletzte Chance eingeräumt hatte, sich in Zukunft gesetzestreu zu verhalten. Anstatt jedoch von der Begehung weiterer Straftaten abzusehen, delinquierte er rund eineinhalb Jahre später sogar noch schwerer, wurde doch mit der verfahrensauslösenden Verurteilung die bisher höchste Strafe (24 Monate Freiheitsstrafe) gegen ihn ausgesprochen. Bei dieser Sachlage entsteht der Gesamteindruck eines uneinsichtigen, hartnäckigen Wiederholungstäters, der die zahlreichen ihm eingeräumten Chancen nicht genutzt hat und bei welchem sämtliche in einem Rechtsstaat zur Verfügung stehenden Sanktionen wirkungslos erscheinen.</w:t>
      </w:r>
    </w:p>
    <w:p>
      <w:r>
        <w:t>Was der Beschwerdeführer dagegen vorbringt, ist nicht geeignet, diese Beurteilung zu entkräften. Dass er nie körperlich gewalttätig geworden sein will, vermag sein migrationsrechtliches Verschulden nicht entscheidend zu relativieren, da er immer wieder mit dem Gesetz in Konflikt geriet und trotz Verwarnungen sogar schwerer delinquierte. Auch aus dem von ihm zitierten BGE 137 II 297 kann er nichts zu seinen Gunsten ableiten, da dem Entscheid ein anderer Sachverhalt zugrunde lag und insbesondere keine längerfristige Freiheitsstrafe ausgesprochen worden war.</w:t>
      </w:r>
    </w:p>
    <w:p>
      <w:r>
        <w:rPr>
          <w:b/>
        </w:rPr>
        <w:t>E. 3.4</w:t>
      </w:r>
    </w:p>
    <w:p>
      <w:r>
        <w:t>An der Fernhaltung des Beschwerdeführers besteht somit ein erhebliches sicherheitspolizeiliches Interesse, das nur durch entsprechend gewichtige private Interessen aufgewogen werden könnte, d.h. wenn aussergewöhnlich schwerwiegende Umstände gegen eine Wegweisung sprechen würden.</w:t>
      </w:r>
    </w:p>
    <w:p>
      <w:r>
        <w:rPr>
          <w:b/>
        </w:rPr>
        <w:t>E. 3.5</w:t>
      </w:r>
    </w:p>
    <w:p>
      <w:r>
        <w:t>Das Bundesgericht stellt nicht in Abrede, dass der Entzug der Niederlassungsbewilligung den Beschwerdeführer, der seit seinem zweiten Lebensjahr und somit seit über 33 Jahren in der Schweiz seinen Lebensmittelpunkt hat, zweifellos hart trifft. Zwar ist ihm zugute zu halten, dass er keine Schulden hat, keine Sozialhilfe bezieht und einer geregelten Arbeit nachgeht. Entgegen seiner Auffassung kann ihm jedoch aufgrund der wiederholten Delinquenz keine erfolgreiche soziale Integration bescheinigt werden. Daran vermögen auch die in den Akten befindlichen zahlreichen Unterstützungsschreiben von Familie, Freunden und Bekannten nichts zu ändern.</w:t>
      </w:r>
    </w:p>
    <w:p>
      <w:r>
        <w:t>Der Beschwerdeführer spricht die Sprache seines Heimatlandes und ist mit den dortigen kulturellen Gepflogenheiten grundlegend vertraut. Die Tätigkeit als Disponent als solche ist nicht an die Schweiz gebunden und die hier gesammelte Berufserfahrung wird ihm im Heimatland von Nutzen sein. Zudem hat er eine Berufslehre als Verkäufer abgeschlossen. Der Umstand, dass die wirtschaftlichen Verhältnisse bzw. die Arbeitsmöglichkeiten in der Schweiz besser sind als in seinem Heimatland, lässt eine Ausreise nicht als unzumutbar erscheinen. Auch wenn die Wiedereingliederung im Heimatland mit Schwierigkeiten verbunden sein kann, stehen seiner Rückkehr keine unüberwindlichen Hindernisse entgegen, zumal er mit 36 Jahren noch vergleichsweise jung ist.</w:t>
      </w:r>
    </w:p>
    <w:p>
      <w:r>
        <w:rPr>
          <w:b/>
        </w:rPr>
        <w:t>E. 3.6</w:t>
      </w:r>
    </w:p>
    <w:p>
      <w:r>
        <w:t>Auch die Würdigung der familiären Verhältnisse führt zu keinem anderen Ergebnis. Der Beschwerdeführer ist seit 2013 mit einer Schweizer Bürgerin verheiratet und hat seit 2014 eine Tochter. Die Geburt seines zweiten Kindes am 11. September 2017 ist ein echtes Novum, das im vorliegenden Verfahren nicht berücksichtigt werden kann (vgl. E. 2 hiervor). Eine Rückkehr des Beschwerdeführers in die Heimat würde die Familie zweifellos hart treffen, zumal gemäss den Ausführungen der Vorinstanz die Ehefrau offenbar keine Beziehungen mehr zu Bosnien und Herzegowina hat und ihr daher eine Übersiedlung ins Heimatland des Beschwerdeführers kaum zuzumuten ist. Zu beachten ist allerdings auch, dass der Beschwerdeführer schon vor der Heirat mehrfach straffällig geworden und ausländerrechtlich verwarnt worden war, weshalb die Ehegattin damit rechnen musste, bei erneuter Delinquenz des Beschwerdeführers die Ehe zukünftig eventuell nicht in der Schweiz leben zu können.</w:t>
      </w:r>
    </w:p>
    <w:p>
      <w:r>
        <w:t>Das Bundesgericht misst dem Interesse an einer intakten Eltern-Kind-Beziehung im Rahmen der Prüfung der Verhältnismässigkeit einer aufenthaltsbeendenden Massnahme eine gewichtige Bedeutung zu und verkennt nicht, dass die Kinder des Beschwerdeführers ein vorrangig zu berücksichtigendes Interesse daran haben, mit ihrem Vater aufzuwachsen. Je schwerer aber die begangene Rechtsgutverletzung wiegt, desto eher vermag das öffentliche Interesse an einer Ausreise des Straftäters selbst das Interesse eines Kindes zu überwiegen, mit diesem Elternteil hier aufwachsen zu können (vgl. Urteil 2C_80/2017 vom 8. September 2017 E. 3.2.3 mit Hinweisen).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(Urteil 2C_208/2016 vom 21. Dezember 2016 E. 5.3.2 mit Hinweis).</w:t>
      </w:r>
    </w:p>
    <w:p>
      <w:r>
        <w:t>Aufgrund der Art und Schwere der zur Diskussion stehenden Delikte sowie des Verschuldens des Beschwerdeführers ist nicht zu beanstanden, dass die Vorinstanz dem Beschwerdeführer die Fortführung des verfassungs- und konventionsrechtlich geschützten Familienlebens in der Schweiz verweigert hat. Der Beschwerdeführer hat durch sein Verhalten den Fortbestand seines Familienlebens in der Schweiz selbstverschuldet und mutwillig aufs Spiel gesetzt. Weder die Heirat mit einer Schweizer Bürgerin im Jahr 2013 noch die (damals bevorstehende) Geburt seiner Tochter im Jahr 2014 haben ihn davon abgehalten, erneut Straftaten zu begehen. Folglich hat er es hinzunehmen, wenn die Beziehung zu seiner Familie - welche aufgrund der Untersuchungshaft bzw. des Strafvollzugs bereits Einschränkungen unterworfen war - künftig nur noch unter erschwerten Bedingungen gelebt werden kann. Das erhebliche öffentliche Interesse an der Entfernung des Beschwerdeführers überwiegt sein privates Interesse sowie dasjenige seiner Angehörigen an seinem weiteren Verbleib in der Schweiz.</w:t>
      </w:r>
    </w:p>
    <w:p>
      <w:r>
        <w:rPr>
          <w:b/>
        </w:rPr>
        <w:t>E. 3.7</w:t>
      </w:r>
    </w:p>
    <w:p>
      <w:r>
        <w:t>Ergänzend ist darauf hinzuweisen, dass eine strafrechtliche Verurteilung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(vgl. Urteile 2C_714/2014 vom 15. Mai 2015 E. 3.3; 2C_1224/2013 vom 12. Dezember 2014 E. 5.1.2; je mit Hinweisen).</w:t>
      </w:r>
    </w:p>
    <w:p>
      <w:r>
        <w:rPr>
          <w:b/>
        </w:rPr>
        <w:t>E. 4.1</w:t>
      </w:r>
    </w:p>
    <w:p>
      <w:r>
        <w:t>Nach dem Gesagten verletzt der angefochtene Entscheid weder Konventions- noch Bundesrecht. Die Beschwerde erweist sich als unbegründet und ist abzuweisen.</w:t>
      </w:r>
    </w:p>
    <w:p>
      <w:r>
        <w:rPr>
          <w:b/>
        </w:rPr>
        <w:t>E. 4.2</w:t>
      </w:r>
    </w:p>
    <w:p>
      <w:r>
        <w:t>Dem Verfahrensausgang entsprechend wird der unterliegende Beschwerdeführer kostenpflichtig ( Art. 66 Abs. 1 BGG ).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