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2C_269/2015 vom 2. Dezember 2015</w:t>
      </w:r>
    </w:p>
    <w:p>
      <w:r>
        <w:t>Bundesgericht, 2015-12-02, FR</w:t>
      </w:r>
    </w:p>
    <w:p>
      <w:r>
        <w:rPr>
          <w:b/>
        </w:rPr>
        <w:t xml:space="preserve">Quelle: </w:t>
      </w:r>
      <w:r>
        <w:t>https://mcp.opencaselaw.ch/entscheid/bger_2C_269_2015</w:t>
      </w:r>
    </w:p>
    <w:p>
      <w:r>
        <w:t>FR: TF 2C_269/2015 du 2 décembre 2015</w:t>
      </w:r>
    </w:p>
    <w:p>
      <w:r>
        <w:t>IT: TF 2C_269/2015 del 2 dicembre 2015</w:t>
      </w:r>
    </w:p>
    <w:p>
      <w:pPr>
        <w:pStyle w:val="Heading2"/>
      </w:pPr>
      <w:r>
        <w:t>Erwägungen</w:t>
      </w:r>
    </w:p>
    <w:p>
      <w:r>
        <w:rPr>
          <w:b/>
        </w:rPr>
        <w:t>E. 1.1</w:t>
      </w:r>
    </w:p>
    <w:p>
      <w:r>
        <w:t>Le recours est dirigé contre un jugement final (cf. art. 90 LTF ) rendu dans une cause de droit public (cf. art. 82 let. a LTF ) par un tribunal cantonal supérieur (cf. art. 86 al. 1 let . d et al. 2 LTF).</w:t>
      </w:r>
    </w:p>
    <w:p>
      <w:r>
        <w:rPr>
          <w:b/>
        </w:rPr>
        <w:t>E. 1.2</w:t>
      </w:r>
    </w:p>
    <w:p>
      <w:r>
        <w:t>Le recours en matière de droit public est recevable contre les décisions révoquant, comme en l'espèce, une autorisation d'établissement parce qu'il existe en principe un droit au maintien de cette autorisation ( ATF 135 II 1 consid. 1.2.1 p. 4). Au surplus, en sa qualité de ressortissant portugais, l'intimé peut prétendre à un titre de séjour en Suisse, en vertu de l'Accord du 21 juin 1999 entre la Confédération suisse, d'une part, et la Communauté européenne et ses Etats membres, d'autre part, sur la libre circulation des personnes (Accord sur la libre circulation des personnes, ALCP; RS 0.142.112.681; cf. ATF 136 II 177 consid. 1.1 p. 179 s.; 129 II 249 consid. 4 p. 258 ss). Il peut également prétendre à la protection de la vie de famille tiré de l' art. 8 CEDH . La présente cause ne tombe ainsi pas sous le coup de l' art. 83 let . c ch. 2 LTF, ni d'aucune autre clause d'irrecevabilité figurant à l' art. 83 LTF . Partant, la voie du recours en matière de droit public est ouverte.</w:t>
      </w:r>
    </w:p>
    <w:p>
      <w:r>
        <w:rPr>
          <w:b/>
        </w:rPr>
        <w:t>E. 2.1</w:t>
      </w:r>
    </w:p>
    <w:p>
      <w:r>
        <w:t>La loi sur les étrangers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2C_473/2011 du 17 octobre 2011 consid. 2.1).</w:t>
      </w:r>
    </w:p>
    <w:p>
      <w:r>
        <w:rPr>
          <w:b/>
        </w:rPr>
        <w:t>E. 2.2</w:t>
      </w:r>
    </w:p>
    <w:p>
      <w:r>
        <w:t>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LEtr, disposition à laquelle renvoie l'art. 63 al. 1 let. a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p. 147; 139 II 65 consid. 5.1 p. 72).</w:t>
      </w:r>
    </w:p>
    <w:p>
      <w:r>
        <w:rPr>
          <w:b/>
        </w:rPr>
        <w:t>E. 2.3</w:t>
      </w:r>
    </w:p>
    <w:p>
      <w:r>
        <w:t>Comme l'ensemble des droits octroyés par l'ALCP, le droit de demeurer en Suisse ne peut être limité que par des mesures d'ordre ou de sécurité publics, au sens de l' art. 5 al. 1 annexe I ALCP (cf. ATF 136 II 5 consid. 3.4 p. 12 s.). Conformément à la jurisprudence rendue en rapport avec l' art. 5 annexe I ALCP ,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w:t>
      </w:r>
    </w:p>
    <w:p>
      <w:r>
        <w:rPr>
          <w:b/>
        </w:rPr>
        <w:t>E. 2.4</w:t>
      </w:r>
    </w:p>
    <w:p>
      <w:r>
        <w:t>Il n'est pas contesté que le recourant remplit les conditions de l'art. 62 let. b LEtr, par renvoi de l'art. 63 al. 1 let. b LEtr, et 63 al. 2 LEtr., permettant de révoquer son autorisation d'établissement, puisqu'il a été condamné à une peine privative de liberté de 35 mois. Il reste par conséquent à examiner si l'intimé représente une menace actuelle et réelle d'une certaine gravité pour l'ordre public suisse.</w:t>
      </w:r>
    </w:p>
    <w:p>
      <w:r>
        <w:rPr>
          <w:b/>
        </w:rPr>
        <w:t>E. 2.5</w:t>
      </w:r>
    </w:p>
    <w:p>
      <w:r>
        <w:t>En l'espèce, c'est à juste titre que l'instance précédente a souligné que le rapport des psychiatres avait mis en évidence un pronostic défavorable. Force est de reconnaître que le recourant ne semble pas avoir pris véritablement au sérieux ses problèmes d'addiction. Le rapport du centre d'aide et de prévention du 28 novembre 2014 et de son complément du 19 janvier 2015 mentionne en effet deux contrôles positifs ainsi que des rendez-vous manqués, dont le recourant, comme le souligne avec raison l'instance précédente, n'assume pas la responsabilité, les mettant, conformément à son mécanisme de défense décrit par le rapport d'expertise du 7 novembre 2012, sur le compte d'une autre personne. Les objections du recourant qui se prévaut de ce que certains contrôles ont été négatifs ne lui sont d'aucun secours, encore moins son bon comportement durant sa libération conditionnelle en raison du contrôle relativement étroit que les autorités pénales ont exercé sur ce dernier au cours de la période d'exécution de la peine.</w:t>
      </w:r>
    </w:p>
    <w:p>
      <w:r>
        <w:rPr>
          <w:b/>
        </w:rPr>
        <w:t>E. 3</w:t>
      </w:r>
    </w:p>
    <w:p>
      <w:r>
        <w:t>Le recourant s'en prend, sous l'angle des art. 96 LEtr, 5 al. 2 Cst. et 8 CEDH, à la pesée des intérêts effectuée par les juges cantonaux.</w:t>
      </w:r>
    </w:p>
    <w:p>
      <w:r>
        <w:rPr>
          <w:b/>
        </w:rPr>
        <w:t>E. 3.1</w:t>
      </w:r>
    </w:p>
    <w:p>
      <w:r>
        <w:t>La révocation de l'autorisation d'établissement ne se justifie que si la pesée globale des intérêts à effectuer fait apparaître la mesure comme proportionnée (cf. ATF 139 I 16 consid. 2.2.1 p. 19; 135 II 377 consid. 4.2 p. 380; arrêt 2C_655/2011 du 7 février 2012 consid. 10.1). Exprimé de manière générale à l' art. 5 al. 2 Cst. et découlant également de l'art. 96 LEtr, dont se prévaut le recourant, le principe de la proportionnalité exige que la mesure prise par l'autorité soit raisonnable et nécessaire pour atteindre le but d'intérêt public ou privé poursuivi (cf. ATF 136 I 87 consid. 3.2 p. 91 s.; 135 II 377 consid. 4.2 p. 380). Lors de cet examen, il y a lieu de prendre en considération la gravité de la faute commise, le degré d'intégration, la durée du séjour en Suisse, ainsi que le préjudice que l'intéressé et sa famille auraient à subir du fait de la mesure ( ATF 139 I 16 consid. 2.2.1 p. 19; 135 II 377 consid. 4.3 p. 381). La peine infligée par le juge pénal est le premier critère servant à évaluer la gravité de la faute et à procéder à la pesée des intérêts (arrêts 2C_265/2011 du 27 septembre 2011 consid. 6.1.1; 2C_227/2011 du 25 août 2011 consid. 3.1). La durée de présence en Suisse d'un étranger constitue un autre critère très important. Plus cette durée est longue, plus les conditions pour prononcer l'expulsion administrative doivent être appréciées restrictivement (cf. ATF 135 II 377 consid. 4.4 et 4.5 p. 382 s.; arrêt 2C_881/2012 du 16 janvier 2013 consid. 5.1).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 ATF 139 I 16 consid. 2.2.1 p. 19 ss; 139 I 31 consid. 2.3.1 p. 33 ss; 130 II 281 consid. 3.2.2 p. 287; 130 II 176 consid. 4.4.2 p. 190; 125 II 521 consid. 2b p. 523; arrêt 2C_445/2014 du 2 décembre 2014 consid. 2.3).</w:t>
      </w:r>
    </w:p>
    <w:p>
      <w:r>
        <w:rPr>
          <w:b/>
        </w:rPr>
        <w:t>E. 3.2</w:t>
      </w:r>
    </w:p>
    <w:p>
      <w:r>
        <w:t>S'agissant de la pesée des intérêts, l'autorité précédente a procédé à cet examen de manière circonstanciée, en prenant en considération tous les éléments requis; en particulier par rapport à l'enfant à naître au moment où a été rendu l'arrêt attaqué, l'instance précédente a dûment retenu que la mère de l'enfant, qui n'est pas mariée au recourant, est également portugaise et connaissait, avant d'avoir un enfant du recourant, les risques que ce dernier encouraient d'être renvoyé au Portugal, de sorte qu'elle a accepté la réalisation de ce risque et envisagé un départ pour le Portugal. Pour le surplus, l'enfant en très bas âge pourra suivre sans difficulté ses parents. Enfin, la relation du recourant avec son fils né en 2008, sur lequel il ne dispose ni de l'autorité parentale ni d'un droit de garde et auquel il n'est pas en mesure de verser une pension d'entretien n'est pas de nature à inverser la pesée des intérêts en sa faveur.</w:t>
      </w:r>
    </w:p>
    <w:p>
      <w:r>
        <w:rPr>
          <w:b/>
        </w:rPr>
        <w:t>E. 3.3</w:t>
      </w:r>
    </w:p>
    <w:p>
      <w:r>
        <w:t>Dans ces circonstances, la révocation de l'autorisation d'établissement du recourant respecte le droit fédéral.</w:t>
      </w:r>
    </w:p>
    <w:p>
      <w:r>
        <w:rPr>
          <w:b/>
        </w:rPr>
        <w:t>E. 4</w:t>
      </w:r>
    </w:p>
    <w:p>
      <w:r>
        <w:t>Les considérants qui précèdent conduisent au rejet du recours. Le recours étant dénué de chances de succès, la requête d'assistance judiciaire est rejetée (cf. art. 64 al. 1 et 2 LTF a contrario). Succombant, le recourant doit supporter les frais de justice réduits (art. 66 al. 1, 1ère phrase LTF).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