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268/2016 vom 22. April 2016</w:t>
      </w:r>
    </w:p>
    <w:p>
      <w:r>
        <w:t>Bundesgericht, 2016-04-22, DE</w:t>
      </w:r>
    </w:p>
    <w:p>
      <w:r>
        <w:rPr>
          <w:b/>
        </w:rPr>
        <w:t xml:space="preserve">Quelle: </w:t>
      </w:r>
      <w:r>
        <w:t>https://mcp.opencaselaw.ch/entscheid/bger_2C_268_2016</w:t>
      </w:r>
    </w:p>
    <w:p>
      <w:r>
        <w:t>FR: TF 2C 268/2016 du 22 avril 2016</w:t>
      </w:r>
    </w:p>
    <w:p>
      <w:r>
        <w:t>IT: TF 2C 268/2016 del 22 aprile 2016</w:t>
      </w:r>
    </w:p>
    <w:p>
      <w:pPr>
        <w:pStyle w:val="Heading2"/>
      </w:pPr>
      <w:r>
        <w:t>Regeste</w:t>
      </w:r>
    </w:p>
    <w:p>
      <w:r>
        <w:t>Irrecevabilité | Finances publiques &amp; droit fiscal</w:t>
      </w:r>
    </w:p>
    <w:p>
      <w:pPr>
        <w:pStyle w:val="Heading2"/>
      </w:pPr>
      <w:r>
        <w:t>Erwägungen</w:t>
      </w:r>
    </w:p>
    <w:p>
      <w:r>
        <w:rPr>
          <w:b/>
        </w:rPr>
        <w:t>E. 1</w:t>
      </w:r>
    </w:p>
    <w:p>
      <w:r>
        <w:t>A.________ gelangte mit Beschwerde gegen einen Entscheid der Administration cantonale des impôts du canton de Vaud vom 6. Januar 2016 an das Tribunal cantonal du canton de Vaud, Cour de droit administratif et public. Da er der Aufforderung, den angefochtenen Entscheid der Steuerverwaltung nachzureichen, keine Folge leistete, erledigte das Tribunal cantonal die Streitsache am 3. März 2016 mit einer Décision de radiation du rôle. Mit einem am 9. März 2016 zur Post gegebenen, vom 12. März 2016 datierten und in deutscher Sprache verfassten Schreiben verlangte A.________ vom Bundesgericht die unentgeltliche Rechtspflege im Hinblick auf die Einreichung einer Beschwerde gegen den Entscheid des Tribunal cantonal. Mit Schreiben vom 11. März 2016 wurde er unter anderem über die bei der Verfassung einer Beschwerde einzuhaltende Vorgehensweise informiert. Gleichzeitig wurde darauf hingewiesen, dass die Beschwerdefrist noch lange laufe, dass sich aber nach dem Aktenstand nicht erkennen lasse, inwiefern sich der Entscheid des Tribunal cantonal erfolgversprechend anfechten liesse. A.________ erneuerte am 18. März 2016 (Postaufgabe) sein Begehren um unentgeltliche Rechtspflege. Mit einer am 22. März 2016 zur Post gegebenen, vom 28. März 2016 datierten Rechtsschrift mit zahlreichen Beilagen erhob er ausdrücklich Beschwerde (Rekurs) gegen den Entscheid des Tribunal cantonal. Mit Verfügung vom 29. März 2016 wies das Bundesgericht das Gesuch um unentgeltliche Rechtspflege und Verbeiständung wegen Aussichtslosigkeit der Beschwerde ab. Weitere Eingaben des Beschwerdeführers sind nicht zu verzeichnen. Die Umstände rechtfertigen es, das vorliegende Urteil in der Amtssprache Deutsch zu verfassen (Art. 54 Abs. 2 BGG).</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 Den innerhalb der mittlerweile abgelaufenen Beschwerdefrist (Art. 100 Abs. 1 in Verbindung mit Art. 46 Abs. 1 lit. a BGG) vorgelegten drei Eingaben des Beschwerdeführers lässt sich zur einzig massgeblichen Nichteintretens-Begründung des Tribunal cantonal nichts entnehmen. Die Beschwerde enthält offensichtlich keine hinreichende Begründung. Es ist darauf mit Entscheid des Abteilungspräsidenten als Einzelrichter im vereinfachten Verfahren nach Art. 108 BGG nicht einzutreten. Die Gerichtskosten (Art. 65 BGG)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