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2C_268/2007 vom 21. September 2007</w:t>
      </w:r>
    </w:p>
    <w:p>
      <w:r>
        <w:t>Bundesgericht, 2007-09-21, DE</w:t>
      </w:r>
    </w:p>
    <w:p>
      <w:r>
        <w:rPr>
          <w:b/>
        </w:rPr>
        <w:t xml:space="preserve">Quelle: </w:t>
      </w:r>
      <w:r>
        <w:t>https://mcp.opencaselaw.ch/entscheid/bger_2C_268_2007</w:t>
      </w:r>
    </w:p>
    <w:p>
      <w:r>
        <w:t>FR: TF 2C_268/2007 du 21 septembre 2007</w:t>
      </w:r>
    </w:p>
    <w:p>
      <w:r>
        <w:t>IT: TF 2C_268/2007 del 21 settembre 2007</w:t>
      </w:r>
    </w:p>
    <w:p>
      <w:pPr>
        <w:pStyle w:val="Heading2"/>
      </w:pPr>
      <w:r>
        <w:t>Erwägungen</w:t>
      </w:r>
    </w:p>
    <w:p>
      <w:r>
        <w:rPr>
          <w:b/>
        </w:rPr>
        <w:t>E. 1.1</w:t>
      </w:r>
    </w:p>
    <w:p>
      <w:r>
        <w:t>Der in Anwendung des Bundesgesetzes vom 13. Dezember 2002 über die Berufsbildung (Berufsbildungsgesetz, BBG; SR 412.10) ergangene kantonal letztinstanzliche Entscheid des Verwaltungsgerichts kann mit Beschwerde in öffentlich-rechtlichen Angelegenheiten angefochten werden ( Art. 82 lit. a und Art. 86 Abs. 1 lit. d BGG in Verbindung mit Art. 61 BBG ). Ein Ausschlussgrund (vgl. Art. 83 lit. t BGG) liegt nicht vor.</w:t>
      </w:r>
    </w:p>
    <w:p>
      <w:r>
        <w:rPr>
          <w:b/>
        </w:rPr>
        <w:t>E. 1.2</w:t>
      </w:r>
    </w:p>
    <w:p>
      <w:r>
        <w:t>Gegenstand des vorliegenden Verfahrens ist einzig der Entscheid des Verwaltungsgerichts ( Art. 86 Abs. 1 lit. d BGG ). Soweit sich die Beschwerde gegen Verfügungen anderer kantonaler Behörden richtet, ist darauf nicht einzutreten.</w:t>
      </w:r>
    </w:p>
    <w:p>
      <w:r>
        <w:rPr>
          <w:b/>
        </w:rPr>
        <w:t>E. 1.3</w:t>
      </w:r>
    </w:p>
    <w:p>
      <w:r>
        <w:t>Nicht einzutreten ist ebenfalls auf das Vorbringen des Beschwerdeführers betreffend den Lehrvertrag bzw. das Lehrverhältnis mit seiner Praktikantin, das nicht Gegenstand des Verfahrens vor der Vorinstanz bildete.</w:t>
      </w:r>
    </w:p>
    <w:p>
      <w:r>
        <w:rPr>
          <w:b/>
        </w:rPr>
        <w:t>E. 2.1</w:t>
      </w:r>
    </w:p>
    <w:p>
      <w:r>
        <w:t>Gemäss Art. 45 Abs. 3 BBG legt der Bundesrat die Mindestanforderungen an die Bildung der Berufsbildner fest. Dem ist der Bundesrat mit der Verordnung vom 19. November 2003 über die Berufsbildung (Berufsbildungsverordnung, BBV; SR 412.101) nachgekommen. Nach Art. 44 Abs. 1 BBV müssen Berufsbildner in Lehrbetrieben über ein eidgenössisches Fähigkeitszeugnis auf dem Gebiet, in dem sie bilden, oder über eine gleichwertige Qualifikation (lit. a), zwei Jahre berufliche Praxis im Lehrgebiet (lit. b) sowie eine berufspädagogische Qualifikation im Äquivalent von 100 Lernstunden verfügen.</w:t>
      </w:r>
    </w:p>
    <w:p>
      <w:r>
        <w:rPr>
          <w:b/>
        </w:rPr>
        <w:t>E. 2.2</w:t>
      </w:r>
    </w:p>
    <w:p>
      <w:r>
        <w:t>Nach Art. 2 Abs. 3 des im Zeitpunkt der Bewilligungserteilung noch anwendbaren Reglements des Eidgenössischen Volkswirtschaftsdepartements vom 1. März 1996 über die Ausbildung und die Lehrabschlussprüfung von Floristen (im Folgenden: Reglement) waren gelernte Floristen mit vier Jahren Berufspraxis (lit. a), Floristen mit eidgenössischem Fachausweis (lit. b) und eidgenössisch diplomierte Floristen (lit. c) zur Ausbildung von Floristen berechtigt. Die Eignung eines Lehrbetriebes wird durch die zuständige kantonale Behörde festgestellt; vorbehalten bleiben die allgemeinen Bestimmungen des Bundesgesetzes (Art. 2 Abs. 5 des Reglements).</w:t>
      </w:r>
    </w:p>
    <w:p>
      <w:r>
        <w:t>In der widerrufenen Ausbildungsbewilligung wurde bezüglich der Ausbildungsvorschriften auf dieses Reglement verwiesen.</w:t>
      </w:r>
    </w:p>
    <w:p>
      <w:r>
        <w:rPr>
          <w:b/>
        </w:rPr>
        <w:t>E. 2.3</w:t>
      </w:r>
    </w:p>
    <w:p>
      <w:r>
        <w:t>Gemäss Art. 36 BBG sind nur Inhaber eines Abschlusses der beruflichen Grundausbildung und der höheren Berufsbildung berechtigt, den in den entsprechenden Vorschriften festgelegten Titel zu führen. Nach dieser Bestimmung liegt es auf der Hand, dass sich im Bereich, in dem die Ausbildung - wie im vorliegenden Fall - durch das Berufsbildungsgesetz geregelt ist, als "gelernte" Berufsperson nur jemand bezeichnen darf, der die berufsspezifische Ausbildung auch erfolgreich abgeschlossen hat und über den entsprechenden staatlich anerkannten Fähigkeitsausweis verfügt. Daran vermag auch eine langjährige Berufserfahrung sowie eine Entlöhnung wie eine gelernte Berufsperson nichts zu ändern (Urteil 4C.282/2000 vom 23. November 2000 E. 2). In diesem Sinne stellt Art. 16 des Reglements klar, dass nur berechtigt ist, die gesetzliche geschützte Berufsbezeichnung "Gelernter Florist" zu führen, wer die Prüfung bestanden und damit das eidgenössische Fähigkeitszeugnis erhalten hat.</w:t>
      </w:r>
    </w:p>
    <w:p>
      <w:r>
        <w:rPr>
          <w:b/>
        </w:rPr>
        <w:t>E. 2.4</w:t>
      </w:r>
    </w:p>
    <w:p>
      <w:r>
        <w:t>Nach den Feststellungen der Vorinstanz ist keine gelernte Floristin (mehr) im Betrieb des Beschwerdeführers angestellt, die die nach dem Berufsbildungsgesetz verlangte fachliche Ausbildung der Floristen-Lehrlinge sicherstellen könnte. Der Beschwerdeführer behauptet (nach den Akten zu Recht) selber nicht, dass diese Feststellung offensichtlich unrichtig sei, weshalb davon auszugehen ist ( Art. 105 BGG ).</w:t>
      </w:r>
    </w:p>
    <w:p>
      <w:r>
        <w:rPr>
          <w:b/>
        </w:rPr>
        <w:t>E. 2.5</w:t>
      </w:r>
    </w:p>
    <w:p>
      <w:r>
        <w:t>Da damit im Betrieb des Beschwerdeführers die Voraussetzungen für die Bewilligungserteilung nachträglich weggefallen sind, hat das Verwaltungsgericht kein Bundesrecht verletzt, wenn es den Bewilligungsentzug bestätigte.</w:t>
      </w:r>
    </w:p>
    <w:p>
      <w:r>
        <w:rPr>
          <w:b/>
        </w:rPr>
        <w:t>E. 3</w:t>
      </w:r>
    </w:p>
    <w:p>
      <w:r>
        <w:t>Die Beschwerde ist aus diesen Gründen abzuweisen, soweit darauf eingetreten werden kann. 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